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enderaddress"/>
        <w:tabs>
          <w:tab w:val="clear" w:pos="5663"/>
          <w:tab w:val="right" w:pos="7850" w:leader="none"/>
          <w:tab w:val="right" w:pos="8559" w:leader="none"/>
        </w:tabs>
        <w:bidi w:val="0"/>
        <w:ind w:left="709" w:right="0" w:hanging="0"/>
        <w:jc w:val="left"/>
        <w:rPr>
          <w:lang w:val="en-US"/>
        </w:rPr>
      </w:pPr>
      <w:r>
        <w:drawing>
          <wp:anchor behindDoc="0" distT="0" distB="0" distL="0" distR="0" simplePos="0" locked="0" layoutInCell="0" allowOverlap="1" relativeHeight="2">
            <wp:simplePos x="0" y="0"/>
            <wp:positionH relativeFrom="column">
              <wp:posOffset>-344170</wp:posOffset>
            </wp:positionH>
            <wp:positionV relativeFrom="paragraph">
              <wp:posOffset>-43180</wp:posOffset>
            </wp:positionV>
            <wp:extent cx="1845945" cy="123063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845945" cy="1230630"/>
                    </a:xfrm>
                    <a:prstGeom prst="rect">
                      <a:avLst/>
                    </a:prstGeom>
                  </pic:spPr>
                </pic:pic>
              </a:graphicData>
            </a:graphic>
          </wp:anchor>
        </w:drawing>
      </w:r>
      <w:r>
        <w:rPr>
          <w:rFonts w:ascii="Cambria" w:hAnsi="Cambria"/>
          <w:b/>
          <w:bCs/>
          <w:color w:val="6E4DA0"/>
          <w:sz w:val="28"/>
          <w:szCs w:val="28"/>
          <w:lang w:val="en-US"/>
        </w:rPr>
        <w:t>Beauregard Parish Library</w:t>
        <w:br/>
        <w:t>205 S. Washington Ave</w:t>
        <w:br/>
        <w:t xml:space="preserve">DeRidder, La 70634 </w:t>
      </w:r>
      <w:r>
        <w:rPr>
          <w:lang w:val="en-US"/>
        </w:rPr>
        <w:br/>
        <w:tab/>
      </w:r>
    </w:p>
    <w:p>
      <w:pPr>
        <w:pStyle w:val="Normal"/>
        <w:bidi w:val="0"/>
        <w:jc w:val="left"/>
        <w:rPr>
          <w:sz w:val="24"/>
          <w:szCs w:val="24"/>
        </w:rPr>
      </w:pPr>
      <w:r>
        <w:rPr>
          <w:sz w:val="24"/>
          <w:szCs w:val="24"/>
        </w:rPr>
        <w:tab/>
      </w:r>
      <w:r>
        <w:rPr>
          <w:b/>
          <w:bCs/>
          <w:sz w:val="28"/>
          <w:szCs w:val="28"/>
        </w:rPr>
        <w:t>Board Meeting Minutes</w:t>
      </w:r>
    </w:p>
    <w:p>
      <w:pPr>
        <w:pStyle w:val="Normal"/>
        <w:bidi w:val="0"/>
        <w:jc w:val="left"/>
        <w:rPr>
          <w:rFonts w:ascii="Liberation Serif" w:hAnsi="Liberation Serif"/>
          <w:sz w:val="24"/>
          <w:szCs w:val="24"/>
        </w:rPr>
      </w:pPr>
      <w:r>
        <w:rPr>
          <w:rFonts w:ascii="Liberation Serif" w:hAnsi="Liberation Serif"/>
          <w:sz w:val="24"/>
          <w:szCs w:val="24"/>
        </w:rPr>
      </w:r>
    </w:p>
    <w:p>
      <w:pPr>
        <w:pStyle w:val="Normal"/>
        <w:bidi w:val="0"/>
        <w:jc w:val="left"/>
        <w:rPr>
          <w:rFonts w:ascii="Liberation Serif" w:hAnsi="Liberation Serif"/>
          <w:sz w:val="24"/>
          <w:szCs w:val="24"/>
        </w:rPr>
      </w:pPr>
      <w:r>
        <w:rPr>
          <w:rFonts w:ascii="Liberation Serif" w:hAnsi="Liberation Serif"/>
          <w:sz w:val="24"/>
          <w:szCs w:val="24"/>
        </w:rPr>
        <w:t xml:space="preserve">The Beauregard parish Library Board of Control met in regularly-called session on Monday, </w:t>
      </w:r>
      <w:r>
        <w:rPr>
          <w:rFonts w:eastAsia="SimSun" w:cs="Mangal" w:ascii="Liberation Serif" w:hAnsi="Liberation Serif"/>
          <w:color w:val="auto"/>
          <w:kern w:val="2"/>
          <w:sz w:val="24"/>
          <w:szCs w:val="24"/>
          <w:lang w:val="en-US" w:eastAsia="zh-CN" w:bidi="hi-IN"/>
        </w:rPr>
        <w:t>Nov 7</w:t>
      </w:r>
      <w:r>
        <w:rPr>
          <w:rFonts w:ascii="Liberation Serif" w:hAnsi="Liberation Serif"/>
          <w:sz w:val="24"/>
          <w:szCs w:val="24"/>
        </w:rPr>
        <w:t xml:space="preserve">, 2022 at 205. S Washington Ave. in DeRidder, LA.  President Angela Lannen called the meeting to order at 4:45 and noted Lynne Boggs, Beth Cuevas, Jo Blankenship, Molly Poe, and Bridget Sonnier were in attendance in addition to herself and Director Erin Chesnutt. Tranquil Crosby and Kelly Bailey were absent. </w:t>
      </w:r>
      <w:r>
        <w:rPr>
          <w:rFonts w:eastAsia="SimSun" w:cs="Mangal" w:ascii="Liberation Serif" w:hAnsi="Liberation Serif"/>
          <w:color w:val="auto"/>
          <w:kern w:val="2"/>
          <w:sz w:val="24"/>
          <w:szCs w:val="24"/>
          <w:lang w:val="en-US" w:eastAsia="zh-CN" w:bidi="hi-IN"/>
        </w:rPr>
        <w:t>David Brossett called in later for public participation</w:t>
      </w:r>
      <w:r>
        <w:rPr>
          <w:rFonts w:ascii="Liberation Serif" w:hAnsi="Liberation Serif"/>
          <w:sz w:val="24"/>
          <w:szCs w:val="24"/>
        </w:rPr>
        <w:t>. The following business did occur:</w:t>
      </w:r>
    </w:p>
    <w:p>
      <w:pPr>
        <w:pStyle w:val="Normal"/>
        <w:bidi w:val="0"/>
        <w:jc w:val="left"/>
        <w:rPr>
          <w:rFonts w:ascii="Liberation Serif" w:hAnsi="Liberation Serif"/>
          <w:sz w:val="24"/>
          <w:szCs w:val="24"/>
        </w:rPr>
      </w:pPr>
      <w:r>
        <w:rPr>
          <w:rFonts w:ascii="Liberation Serif" w:hAnsi="Liberation Serif"/>
          <w:sz w:val="24"/>
          <w:szCs w:val="24"/>
        </w:rPr>
      </w:r>
    </w:p>
    <w:p>
      <w:pPr>
        <w:pStyle w:val="Normal"/>
        <w:numPr>
          <w:ilvl w:val="0"/>
          <w:numId w:val="2"/>
        </w:numPr>
        <w:bidi w:val="0"/>
        <w:jc w:val="left"/>
        <w:rPr>
          <w:rFonts w:ascii="Liberation Serif" w:hAnsi="Liberation Serif"/>
        </w:rPr>
      </w:pPr>
      <w:r>
        <w:rPr>
          <w:rFonts w:ascii="Liberation Serif" w:hAnsi="Liberation Serif"/>
          <w:sz w:val="24"/>
          <w:szCs w:val="24"/>
        </w:rPr>
        <w:t>Blankenship moved to amend the agenda to include Item 5.6 Approve investment and Item 6.1 Training Certificates Reminder (moving all other items in Section 6 “New Business” down); Boggs seconded and the motion carried unanimously.</w:t>
      </w:r>
    </w:p>
    <w:p>
      <w:pPr>
        <w:pStyle w:val="Normal"/>
        <w:numPr>
          <w:ilvl w:val="0"/>
          <w:numId w:val="2"/>
        </w:numPr>
        <w:bidi w:val="0"/>
        <w:jc w:val="left"/>
        <w:rPr>
          <w:rFonts w:ascii="Liberation Serif" w:hAnsi="Liberation Serif"/>
        </w:rPr>
      </w:pPr>
      <w:r>
        <w:rPr>
          <w:rFonts w:eastAsia="SimSun" w:cs="Mangal" w:ascii="Liberation Serif" w:hAnsi="Liberation Serif"/>
          <w:color w:val="auto"/>
          <w:kern w:val="2"/>
          <w:sz w:val="24"/>
          <w:szCs w:val="24"/>
          <w:lang w:val="en-US" w:eastAsia="zh-CN" w:bidi="hi-IN"/>
        </w:rPr>
        <w:t>Boggs</w:t>
      </w:r>
      <w:r>
        <w:rPr>
          <w:rFonts w:ascii="Liberation Serif" w:hAnsi="Liberation Serif"/>
          <w:sz w:val="24"/>
          <w:szCs w:val="24"/>
        </w:rPr>
        <w:t xml:space="preserve"> moved to approve the minutes from the Aug 2022 meeting with the addition “Blankenship moved and Boggs seconded to exit Executive Session.” </w:t>
      </w:r>
      <w:r>
        <w:rPr>
          <w:rFonts w:eastAsia="SimSun" w:cs="Mangal" w:ascii="Liberation Serif" w:hAnsi="Liberation Serif"/>
          <w:color w:val="auto"/>
          <w:kern w:val="2"/>
          <w:sz w:val="24"/>
          <w:szCs w:val="24"/>
          <w:lang w:val="en-US" w:eastAsia="zh-CN" w:bidi="hi-IN"/>
        </w:rPr>
        <w:t>Blankenship</w:t>
      </w:r>
      <w:r>
        <w:rPr>
          <w:rFonts w:ascii="Liberation Serif" w:hAnsi="Liberation Serif"/>
          <w:sz w:val="24"/>
          <w:szCs w:val="24"/>
        </w:rPr>
        <w:t xml:space="preserve"> seconded and the motion carried unanimously.</w:t>
      </w:r>
    </w:p>
    <w:p>
      <w:pPr>
        <w:pStyle w:val="Normal"/>
        <w:numPr>
          <w:ilvl w:val="0"/>
          <w:numId w:val="2"/>
        </w:numPr>
        <w:bidi w:val="0"/>
        <w:jc w:val="left"/>
        <w:rPr>
          <w:rFonts w:ascii="Liberation Serif" w:hAnsi="Liberation Serif" w:eastAsia="SimSun" w:cs="Mangal"/>
          <w:color w:val="auto"/>
          <w:kern w:val="2"/>
          <w:sz w:val="24"/>
          <w:szCs w:val="24"/>
          <w:lang w:val="en-US" w:eastAsia="zh-CN" w:bidi="hi-IN"/>
        </w:rPr>
      </w:pPr>
      <w:r>
        <w:rPr>
          <w:rFonts w:eastAsia="SimSun" w:cs="Mangal" w:ascii="Liberation Serif" w:hAnsi="Liberation Serif"/>
          <w:color w:val="auto"/>
          <w:kern w:val="2"/>
          <w:sz w:val="24"/>
          <w:szCs w:val="24"/>
          <w:lang w:val="en-US" w:eastAsia="zh-CN" w:bidi="hi-IN"/>
        </w:rPr>
        <w:t>Architect David Brossett called in and reported that no bids were received at the Oct 13 bid opening for the East Beauregard branch.  He suspects it is because contractors are still overrun with larger projects and are only just not starting to bid somewhat actively on smaller projects. He noted that historically, contractors bid higher during the holiday season and he recommends waiting until after the first of the year to re-advertise.  In the meantime, he will review the project against cost estimate to be sure it is still reasonable.</w:t>
      </w:r>
    </w:p>
    <w:p>
      <w:pPr>
        <w:pStyle w:val="Normal"/>
        <w:numPr>
          <w:ilvl w:val="0"/>
          <w:numId w:val="2"/>
        </w:numPr>
        <w:bidi w:val="0"/>
        <w:jc w:val="left"/>
        <w:rPr>
          <w:rFonts w:ascii="Liberation Serif" w:hAnsi="Liberation Serif" w:eastAsia="SimSun" w:cs="Mangal"/>
          <w:color w:val="auto"/>
          <w:kern w:val="2"/>
          <w:sz w:val="24"/>
          <w:szCs w:val="24"/>
          <w:lang w:val="en-US" w:eastAsia="zh-CN" w:bidi="hi-IN"/>
        </w:rPr>
      </w:pPr>
      <w:r>
        <w:rPr>
          <w:rFonts w:eastAsia="SimSun" w:cs="Mangal" w:ascii="Liberation Serif" w:hAnsi="Liberation Serif"/>
          <w:color w:val="auto"/>
          <w:kern w:val="2"/>
          <w:sz w:val="24"/>
          <w:szCs w:val="24"/>
          <w:lang w:val="en-US" w:eastAsia="zh-CN" w:bidi="hi-IN"/>
        </w:rPr>
        <w:t>Chesnutt shared that she is considering hiring a facilities or maintenance employee for routine facilities issues beyond custodial duties but not requiring a licensed tradesman in future.  The board suggested keeping a log of such instances and the time and money required to correct them for a year so as to have a baseline of comparison to determine return on investment.</w:t>
      </w:r>
    </w:p>
    <w:p>
      <w:pPr>
        <w:pStyle w:val="Normal"/>
        <w:numPr>
          <w:ilvl w:val="0"/>
          <w:numId w:val="2"/>
        </w:numPr>
        <w:bidi w:val="0"/>
        <w:jc w:val="left"/>
        <w:rPr>
          <w:rFonts w:ascii="Liberation Serif" w:hAnsi="Liberation Serif" w:eastAsia="SimSun" w:cs="Mangal"/>
          <w:color w:val="auto"/>
          <w:kern w:val="2"/>
          <w:sz w:val="24"/>
          <w:szCs w:val="24"/>
          <w:lang w:val="en-US" w:eastAsia="zh-CN" w:bidi="hi-IN"/>
        </w:rPr>
      </w:pPr>
      <w:r>
        <w:rPr>
          <w:rFonts w:eastAsia="SimSun" w:cs="Mangal" w:ascii="Liberation Serif" w:hAnsi="Liberation Serif"/>
          <w:color w:val="auto"/>
          <w:kern w:val="2"/>
          <w:sz w:val="24"/>
          <w:szCs w:val="24"/>
          <w:lang w:val="en-US" w:eastAsia="zh-CN" w:bidi="hi-IN"/>
        </w:rPr>
        <w:t xml:space="preserve">Chesnutt spoke of the proposed budget and highlights of the budget message. After some discussion, the board approved a one time 5% increase across the board of the pay scale for 2023. Administering the mechanics of the pay scale remains the same. Further, the Library will offer to take the Staff to the 2023 Louisiana Library Association conference in the spring of 2023. On motion by Blankenship, seconded by Cuevas and unanimously approved, the proposed budget for FY 2023 is as follows:  </w:t>
      </w:r>
    </w:p>
    <w:p>
      <w:pPr>
        <w:pStyle w:val="Normal"/>
        <w:bidi w:val="0"/>
        <w:jc w:val="left"/>
        <w:rPr>
          <w:sz w:val="16"/>
          <w:szCs w:val="16"/>
        </w:rPr>
      </w:pPr>
      <w:r>
        <w:rPr>
          <w:sz w:val="16"/>
          <w:szCs w:val="16"/>
        </w:rPr>
      </w:r>
    </w:p>
    <w:tbl>
      <w:tblPr>
        <w:tblW w:w="5613" w:type="dxa"/>
        <w:jc w:val="left"/>
        <w:tblInd w:w="-30" w:type="dxa"/>
        <w:tblLayout w:type="fixed"/>
        <w:tblCellMar>
          <w:top w:w="0" w:type="dxa"/>
          <w:left w:w="30" w:type="dxa"/>
          <w:bottom w:w="0" w:type="dxa"/>
          <w:right w:w="30" w:type="dxa"/>
        </w:tblCellMar>
      </w:tblPr>
      <w:tblGrid>
        <w:gridCol w:w="3258"/>
        <w:gridCol w:w="2354"/>
      </w:tblGrid>
      <w:tr>
        <w:trPr>
          <w:trHeight w:val="300" w:hRule="atLeast"/>
        </w:trPr>
        <w:tc>
          <w:tcPr>
            <w:tcW w:w="5612" w:type="dxa"/>
            <w:gridSpan w:val="2"/>
            <w:tcBorders/>
            <w:vAlign w:val="center"/>
          </w:tcPr>
          <w:p>
            <w:pPr>
              <w:pStyle w:val="Normal"/>
              <w:widowControl w:val="false"/>
              <w:tabs>
                <w:tab w:val="clear" w:pos="709"/>
              </w:tabs>
              <w:jc w:val="center"/>
              <w:rPr>
                <w:sz w:val="16"/>
                <w:szCs w:val="16"/>
              </w:rPr>
            </w:pPr>
            <w:r>
              <w:rPr>
                <w:b/>
                <w:sz w:val="16"/>
                <w:szCs w:val="16"/>
              </w:rPr>
              <w:t>2023 FUND BALANCE PROJECTIONS</w:t>
            </w:r>
          </w:p>
        </w:tc>
      </w:tr>
      <w:tr>
        <w:trPr>
          <w:trHeight w:val="256" w:hRule="atLeast"/>
        </w:trPr>
        <w:tc>
          <w:tcPr>
            <w:tcW w:w="3258" w:type="dxa"/>
            <w:tcBorders/>
            <w:vAlign w:val="bottom"/>
          </w:tcPr>
          <w:p>
            <w:pPr>
              <w:pStyle w:val="Normal"/>
              <w:widowControl w:val="false"/>
              <w:tabs>
                <w:tab w:val="clear" w:pos="709"/>
              </w:tabs>
              <w:jc w:val="left"/>
              <w:rPr>
                <w:sz w:val="16"/>
                <w:szCs w:val="16"/>
              </w:rPr>
            </w:pPr>
            <w:r>
              <w:rPr>
                <w:sz w:val="16"/>
                <w:szCs w:val="16"/>
              </w:rPr>
              <w:t>ANTICIPATED BEGINNING BALANCE</w:t>
            </w:r>
          </w:p>
        </w:tc>
        <w:tc>
          <w:tcPr>
            <w:tcW w:w="2354" w:type="dxa"/>
            <w:tcBorders/>
            <w:vAlign w:val="bottom"/>
          </w:tcPr>
          <w:p>
            <w:pPr>
              <w:pStyle w:val="Normal"/>
              <w:widowControl w:val="false"/>
              <w:tabs>
                <w:tab w:val="clear" w:pos="709"/>
              </w:tabs>
              <w:jc w:val="right"/>
              <w:rPr>
                <w:sz w:val="16"/>
                <w:szCs w:val="16"/>
              </w:rPr>
            </w:pPr>
            <w:r>
              <w:rPr>
                <w:sz w:val="16"/>
                <w:szCs w:val="16"/>
              </w:rPr>
              <w:t>$8,636,628</w:t>
            </w:r>
          </w:p>
        </w:tc>
      </w:tr>
      <w:tr>
        <w:trPr>
          <w:trHeight w:val="256" w:hRule="atLeast"/>
        </w:trPr>
        <w:tc>
          <w:tcPr>
            <w:tcW w:w="3258" w:type="dxa"/>
            <w:tcBorders/>
            <w:vAlign w:val="bottom"/>
          </w:tcPr>
          <w:p>
            <w:pPr>
              <w:pStyle w:val="Normal"/>
              <w:widowControl w:val="false"/>
              <w:tabs>
                <w:tab w:val="clear" w:pos="709"/>
              </w:tabs>
              <w:jc w:val="right"/>
              <w:rPr>
                <w:sz w:val="16"/>
                <w:szCs w:val="16"/>
              </w:rPr>
            </w:pPr>
            <w:r>
              <w:rPr>
                <w:sz w:val="16"/>
                <w:szCs w:val="16"/>
              </w:rPr>
              <w:t>EST. ANN. REVENUES</w:t>
            </w:r>
          </w:p>
        </w:tc>
        <w:tc>
          <w:tcPr>
            <w:tcW w:w="2354" w:type="dxa"/>
            <w:tcBorders/>
            <w:vAlign w:val="bottom"/>
          </w:tcPr>
          <w:p>
            <w:pPr>
              <w:pStyle w:val="Normal"/>
              <w:widowControl w:val="false"/>
              <w:tabs>
                <w:tab w:val="clear" w:pos="709"/>
              </w:tabs>
              <w:jc w:val="right"/>
              <w:rPr>
                <w:sz w:val="16"/>
                <w:szCs w:val="16"/>
              </w:rPr>
            </w:pPr>
            <w:r>
              <w:rPr>
                <w:sz w:val="16"/>
                <w:szCs w:val="16"/>
              </w:rPr>
              <w:t>$2,633,061</w:t>
            </w:r>
          </w:p>
        </w:tc>
      </w:tr>
      <w:tr>
        <w:trPr>
          <w:trHeight w:val="256" w:hRule="atLeast"/>
        </w:trPr>
        <w:tc>
          <w:tcPr>
            <w:tcW w:w="3258" w:type="dxa"/>
            <w:tcBorders/>
            <w:vAlign w:val="bottom"/>
          </w:tcPr>
          <w:p>
            <w:pPr>
              <w:pStyle w:val="Normal"/>
              <w:widowControl w:val="false"/>
              <w:tabs>
                <w:tab w:val="clear" w:pos="709"/>
              </w:tabs>
              <w:jc w:val="right"/>
              <w:rPr>
                <w:sz w:val="16"/>
                <w:szCs w:val="16"/>
              </w:rPr>
            </w:pPr>
            <w:r>
              <w:rPr>
                <w:sz w:val="16"/>
                <w:szCs w:val="16"/>
              </w:rPr>
              <w:t>EST. EXPENSES</w:t>
            </w:r>
          </w:p>
        </w:tc>
        <w:tc>
          <w:tcPr>
            <w:tcW w:w="2354" w:type="dxa"/>
            <w:tcBorders/>
            <w:vAlign w:val="bottom"/>
          </w:tcPr>
          <w:p>
            <w:pPr>
              <w:pStyle w:val="Normal"/>
              <w:widowControl w:val="false"/>
              <w:tabs>
                <w:tab w:val="clear" w:pos="709"/>
              </w:tabs>
              <w:jc w:val="right"/>
              <w:rPr>
                <w:sz w:val="16"/>
                <w:szCs w:val="16"/>
              </w:rPr>
            </w:pPr>
            <w:r>
              <w:rPr>
                <w:sz w:val="16"/>
                <w:szCs w:val="16"/>
              </w:rPr>
              <w:t>-$6,363,771</w:t>
            </w:r>
          </w:p>
        </w:tc>
      </w:tr>
      <w:tr>
        <w:trPr>
          <w:trHeight w:val="256" w:hRule="atLeast"/>
        </w:trPr>
        <w:tc>
          <w:tcPr>
            <w:tcW w:w="3258" w:type="dxa"/>
            <w:tcBorders/>
            <w:vAlign w:val="bottom"/>
          </w:tcPr>
          <w:p>
            <w:pPr>
              <w:pStyle w:val="Normal"/>
              <w:widowControl w:val="false"/>
              <w:tabs>
                <w:tab w:val="clear" w:pos="709"/>
              </w:tabs>
              <w:jc w:val="right"/>
              <w:rPr>
                <w:sz w:val="16"/>
                <w:szCs w:val="16"/>
              </w:rPr>
            </w:pPr>
            <w:r>
              <w:rPr>
                <w:sz w:val="16"/>
                <w:szCs w:val="16"/>
              </w:rPr>
            </w:r>
          </w:p>
        </w:tc>
        <w:tc>
          <w:tcPr>
            <w:tcW w:w="2354" w:type="dxa"/>
            <w:tcBorders/>
            <w:vAlign w:val="bottom"/>
          </w:tcPr>
          <w:p>
            <w:pPr>
              <w:pStyle w:val="Normal"/>
              <w:widowControl w:val="false"/>
              <w:tabs>
                <w:tab w:val="clear" w:pos="709"/>
              </w:tabs>
              <w:jc w:val="left"/>
              <w:rPr>
                <w:sz w:val="16"/>
                <w:szCs w:val="16"/>
              </w:rPr>
            </w:pPr>
            <w:r>
              <w:rPr>
                <w:sz w:val="16"/>
                <w:szCs w:val="16"/>
              </w:rPr>
            </w:r>
          </w:p>
        </w:tc>
      </w:tr>
      <w:tr>
        <w:trPr>
          <w:trHeight w:val="256" w:hRule="atLeast"/>
        </w:trPr>
        <w:tc>
          <w:tcPr>
            <w:tcW w:w="3258" w:type="dxa"/>
            <w:tcBorders/>
            <w:vAlign w:val="bottom"/>
          </w:tcPr>
          <w:p>
            <w:pPr>
              <w:pStyle w:val="Normal"/>
              <w:widowControl w:val="false"/>
              <w:tabs>
                <w:tab w:val="clear" w:pos="709"/>
              </w:tabs>
              <w:jc w:val="left"/>
              <w:rPr>
                <w:sz w:val="16"/>
                <w:szCs w:val="16"/>
              </w:rPr>
            </w:pPr>
            <w:r>
              <w:rPr>
                <w:sz w:val="16"/>
                <w:szCs w:val="16"/>
              </w:rPr>
              <w:t>ENDING BALANCE</w:t>
            </w:r>
          </w:p>
        </w:tc>
        <w:tc>
          <w:tcPr>
            <w:tcW w:w="2354" w:type="dxa"/>
            <w:tcBorders/>
            <w:vAlign w:val="bottom"/>
          </w:tcPr>
          <w:p>
            <w:pPr>
              <w:pStyle w:val="Normal"/>
              <w:widowControl w:val="false"/>
              <w:tabs>
                <w:tab w:val="clear" w:pos="709"/>
              </w:tabs>
              <w:jc w:val="right"/>
              <w:rPr>
                <w:sz w:val="16"/>
                <w:szCs w:val="16"/>
              </w:rPr>
            </w:pPr>
            <w:r>
              <w:rPr>
                <w:sz w:val="16"/>
                <w:szCs w:val="16"/>
              </w:rPr>
              <w:t>$4,905,918</w:t>
            </w:r>
          </w:p>
        </w:tc>
      </w:tr>
    </w:tbl>
    <w:p>
      <w:pPr>
        <w:pStyle w:val="Normal"/>
        <w:rPr>
          <w:sz w:val="16"/>
          <w:szCs w:val="16"/>
        </w:rPr>
      </w:pPr>
      <w:r>
        <w:rPr>
          <w:sz w:val="16"/>
          <w:szCs w:val="16"/>
        </w:rPr>
      </w:r>
    </w:p>
    <w:tbl>
      <w:tblPr>
        <w:tblW w:w="5336" w:type="dxa"/>
        <w:jc w:val="left"/>
        <w:tblInd w:w="-30" w:type="dxa"/>
        <w:tblLayout w:type="fixed"/>
        <w:tblCellMar>
          <w:top w:w="0" w:type="dxa"/>
          <w:left w:w="30" w:type="dxa"/>
          <w:bottom w:w="0" w:type="dxa"/>
          <w:right w:w="30" w:type="dxa"/>
        </w:tblCellMar>
      </w:tblPr>
      <w:tblGrid>
        <w:gridCol w:w="2671"/>
        <w:gridCol w:w="40"/>
        <w:gridCol w:w="40"/>
        <w:gridCol w:w="2584"/>
      </w:tblGrid>
      <w:tr>
        <w:trPr>
          <w:trHeight w:val="364" w:hRule="atLeast"/>
        </w:trPr>
        <w:tc>
          <w:tcPr>
            <w:tcW w:w="2671" w:type="dxa"/>
            <w:tcBorders/>
            <w:vAlign w:val="bottom"/>
          </w:tcPr>
          <w:p>
            <w:pPr>
              <w:pStyle w:val="Normal"/>
              <w:widowControl w:val="false"/>
              <w:tabs>
                <w:tab w:val="clear" w:pos="709"/>
              </w:tabs>
              <w:jc w:val="left"/>
              <w:rPr>
                <w:sz w:val="16"/>
                <w:szCs w:val="16"/>
              </w:rPr>
            </w:pPr>
            <w:r>
              <w:rPr>
                <w:b/>
                <w:sz w:val="16"/>
                <w:szCs w:val="16"/>
                <w:u w:val="single"/>
              </w:rPr>
              <w:t>Anticipated Revenues</w:t>
            </w:r>
          </w:p>
        </w:tc>
        <w:tc>
          <w:tcPr>
            <w:tcW w:w="40" w:type="dxa"/>
            <w:tcBorders/>
            <w:vAlign w:val="bottom"/>
          </w:tcPr>
          <w:p>
            <w:pPr>
              <w:pStyle w:val="Normal"/>
              <w:widowControl w:val="false"/>
              <w:tabs>
                <w:tab w:val="clear" w:pos="709"/>
              </w:tabs>
              <w:jc w:val="center"/>
              <w:rPr>
                <w:sz w:val="16"/>
                <w:szCs w:val="16"/>
              </w:rPr>
            </w:pPr>
            <w:r>
              <w:rPr>
                <w:b/>
                <w:sz w:val="16"/>
                <w:szCs w:val="16"/>
              </w:rPr>
              <w:t>2022</w:t>
            </w:r>
          </w:p>
        </w:tc>
        <w:tc>
          <w:tcPr>
            <w:tcW w:w="40" w:type="dxa"/>
            <w:tcBorders/>
            <w:vAlign w:val="bottom"/>
          </w:tcPr>
          <w:p>
            <w:pPr>
              <w:pStyle w:val="Normal"/>
              <w:widowControl w:val="false"/>
              <w:tabs>
                <w:tab w:val="clear" w:pos="709"/>
              </w:tabs>
              <w:jc w:val="center"/>
              <w:rPr>
                <w:b/>
                <w:b/>
                <w:sz w:val="16"/>
                <w:szCs w:val="16"/>
              </w:rPr>
            </w:pPr>
            <w:r>
              <w:rPr>
                <w:b/>
                <w:sz w:val="16"/>
                <w:szCs w:val="16"/>
              </w:rPr>
            </w:r>
          </w:p>
        </w:tc>
        <w:tc>
          <w:tcPr>
            <w:tcW w:w="2584" w:type="dxa"/>
            <w:tcBorders/>
            <w:vAlign w:val="bottom"/>
          </w:tcPr>
          <w:p>
            <w:pPr>
              <w:pStyle w:val="Normal"/>
              <w:widowControl w:val="false"/>
              <w:tabs>
                <w:tab w:val="clear" w:pos="709"/>
              </w:tabs>
              <w:jc w:val="center"/>
              <w:rPr>
                <w:sz w:val="16"/>
                <w:szCs w:val="16"/>
              </w:rPr>
            </w:pPr>
            <w:r>
              <w:rPr>
                <w:b/>
                <w:sz w:val="16"/>
                <w:szCs w:val="16"/>
              </w:rPr>
              <w:t>2023 Proposed</w:t>
            </w:r>
          </w:p>
        </w:tc>
      </w:tr>
      <w:tr>
        <w:trPr>
          <w:trHeight w:val="300" w:hRule="atLeast"/>
        </w:trPr>
        <w:tc>
          <w:tcPr>
            <w:tcW w:w="2671" w:type="dxa"/>
            <w:tcBorders/>
            <w:vAlign w:val="bottom"/>
          </w:tcPr>
          <w:p>
            <w:pPr>
              <w:pStyle w:val="Normal"/>
              <w:widowControl w:val="false"/>
              <w:tabs>
                <w:tab w:val="clear" w:pos="709"/>
              </w:tabs>
              <w:jc w:val="left"/>
              <w:rPr>
                <w:sz w:val="16"/>
                <w:szCs w:val="16"/>
              </w:rPr>
            </w:pPr>
            <w:r>
              <w:rPr>
                <w:sz w:val="16"/>
                <w:szCs w:val="16"/>
              </w:rPr>
              <w:t>Ad Val</w:t>
            </w:r>
          </w:p>
        </w:tc>
        <w:tc>
          <w:tcPr>
            <w:tcW w:w="40" w:type="dxa"/>
            <w:tcBorders/>
            <w:vAlign w:val="bottom"/>
          </w:tcPr>
          <w:p>
            <w:pPr>
              <w:pStyle w:val="Normal"/>
              <w:widowControl w:val="false"/>
              <w:tabs>
                <w:tab w:val="clear" w:pos="709"/>
              </w:tabs>
              <w:jc w:val="right"/>
              <w:rPr>
                <w:sz w:val="16"/>
                <w:szCs w:val="16"/>
              </w:rPr>
            </w:pPr>
            <w:r>
              <w:rPr>
                <w:sz w:val="16"/>
                <w:szCs w:val="16"/>
              </w:rPr>
              <w:t>$2,304,802</w:t>
            </w:r>
          </w:p>
        </w:tc>
        <w:tc>
          <w:tcPr>
            <w:tcW w:w="40" w:type="dxa"/>
            <w:tcBorders/>
            <w:vAlign w:val="bottom"/>
          </w:tcPr>
          <w:p>
            <w:pPr>
              <w:pStyle w:val="Normal"/>
              <w:widowControl w:val="false"/>
              <w:tabs>
                <w:tab w:val="clear" w:pos="709"/>
              </w:tabs>
              <w:jc w:val="center"/>
              <w:rPr>
                <w:sz w:val="16"/>
                <w:szCs w:val="16"/>
              </w:rPr>
            </w:pPr>
            <w:r>
              <w:rPr>
                <w:sz w:val="16"/>
                <w:szCs w:val="16"/>
              </w:rPr>
            </w:r>
          </w:p>
        </w:tc>
        <w:tc>
          <w:tcPr>
            <w:tcW w:w="2584" w:type="dxa"/>
            <w:tcBorders/>
            <w:vAlign w:val="bottom"/>
          </w:tcPr>
          <w:p>
            <w:pPr>
              <w:pStyle w:val="Normal"/>
              <w:widowControl w:val="false"/>
              <w:tabs>
                <w:tab w:val="clear" w:pos="709"/>
              </w:tabs>
              <w:jc w:val="center"/>
              <w:rPr>
                <w:sz w:val="16"/>
                <w:szCs w:val="16"/>
              </w:rPr>
            </w:pPr>
            <w:r>
              <w:rPr>
                <w:sz w:val="16"/>
                <w:szCs w:val="16"/>
              </w:rPr>
              <w:t>$2,572,194</w:t>
            </w:r>
          </w:p>
        </w:tc>
      </w:tr>
      <w:tr>
        <w:trPr>
          <w:trHeight w:val="300" w:hRule="atLeast"/>
        </w:trPr>
        <w:tc>
          <w:tcPr>
            <w:tcW w:w="2671" w:type="dxa"/>
            <w:tcBorders/>
            <w:vAlign w:val="bottom"/>
          </w:tcPr>
          <w:p>
            <w:pPr>
              <w:pStyle w:val="Normal"/>
              <w:widowControl w:val="false"/>
              <w:tabs>
                <w:tab w:val="clear" w:pos="709"/>
              </w:tabs>
              <w:jc w:val="left"/>
              <w:rPr>
                <w:sz w:val="16"/>
                <w:szCs w:val="16"/>
              </w:rPr>
            </w:pPr>
            <w:r>
              <w:rPr>
                <w:sz w:val="16"/>
                <w:szCs w:val="16"/>
              </w:rPr>
              <w:t>State Rev Share</w:t>
            </w:r>
          </w:p>
        </w:tc>
        <w:tc>
          <w:tcPr>
            <w:tcW w:w="40" w:type="dxa"/>
            <w:tcBorders/>
            <w:vAlign w:val="bottom"/>
          </w:tcPr>
          <w:p>
            <w:pPr>
              <w:pStyle w:val="Normal"/>
              <w:widowControl w:val="false"/>
              <w:tabs>
                <w:tab w:val="clear" w:pos="709"/>
              </w:tabs>
              <w:jc w:val="right"/>
              <w:rPr>
                <w:sz w:val="16"/>
                <w:szCs w:val="16"/>
              </w:rPr>
            </w:pPr>
            <w:r>
              <w:rPr>
                <w:sz w:val="16"/>
                <w:szCs w:val="16"/>
              </w:rPr>
              <w:t>$54,408</w:t>
            </w:r>
          </w:p>
        </w:tc>
        <w:tc>
          <w:tcPr>
            <w:tcW w:w="40" w:type="dxa"/>
            <w:tcBorders/>
            <w:vAlign w:val="bottom"/>
          </w:tcPr>
          <w:p>
            <w:pPr>
              <w:pStyle w:val="Normal"/>
              <w:widowControl w:val="false"/>
              <w:tabs>
                <w:tab w:val="clear" w:pos="709"/>
              </w:tabs>
              <w:jc w:val="center"/>
              <w:rPr>
                <w:sz w:val="16"/>
                <w:szCs w:val="16"/>
              </w:rPr>
            </w:pPr>
            <w:r>
              <w:rPr>
                <w:sz w:val="16"/>
                <w:szCs w:val="16"/>
              </w:rPr>
            </w:r>
          </w:p>
        </w:tc>
        <w:tc>
          <w:tcPr>
            <w:tcW w:w="2584" w:type="dxa"/>
            <w:tcBorders/>
            <w:vAlign w:val="bottom"/>
          </w:tcPr>
          <w:p>
            <w:pPr>
              <w:pStyle w:val="Normal"/>
              <w:widowControl w:val="false"/>
              <w:tabs>
                <w:tab w:val="clear" w:pos="709"/>
              </w:tabs>
              <w:jc w:val="center"/>
              <w:rPr>
                <w:sz w:val="16"/>
                <w:szCs w:val="16"/>
              </w:rPr>
            </w:pPr>
            <w:r>
              <w:rPr>
                <w:sz w:val="16"/>
                <w:szCs w:val="16"/>
              </w:rPr>
              <w:t>$55,067</w:t>
            </w:r>
          </w:p>
        </w:tc>
      </w:tr>
      <w:tr>
        <w:trPr>
          <w:trHeight w:val="300" w:hRule="atLeast"/>
        </w:trPr>
        <w:tc>
          <w:tcPr>
            <w:tcW w:w="2671" w:type="dxa"/>
            <w:tcBorders/>
            <w:vAlign w:val="bottom"/>
          </w:tcPr>
          <w:p>
            <w:pPr>
              <w:pStyle w:val="Normal"/>
              <w:widowControl w:val="false"/>
              <w:tabs>
                <w:tab w:val="clear" w:pos="709"/>
              </w:tabs>
              <w:jc w:val="left"/>
              <w:rPr>
                <w:sz w:val="16"/>
                <w:szCs w:val="16"/>
              </w:rPr>
            </w:pPr>
            <w:r>
              <w:rPr>
                <w:sz w:val="16"/>
                <w:szCs w:val="16"/>
              </w:rPr>
              <w:t>Fees</w:t>
            </w:r>
          </w:p>
        </w:tc>
        <w:tc>
          <w:tcPr>
            <w:tcW w:w="40" w:type="dxa"/>
            <w:tcBorders/>
            <w:vAlign w:val="bottom"/>
          </w:tcPr>
          <w:p>
            <w:pPr>
              <w:pStyle w:val="Normal"/>
              <w:widowControl w:val="false"/>
              <w:tabs>
                <w:tab w:val="clear" w:pos="709"/>
              </w:tabs>
              <w:jc w:val="right"/>
              <w:rPr>
                <w:sz w:val="16"/>
                <w:szCs w:val="16"/>
              </w:rPr>
            </w:pPr>
            <w:r>
              <w:rPr>
                <w:sz w:val="16"/>
                <w:szCs w:val="16"/>
              </w:rPr>
              <w:t>$3,000</w:t>
            </w:r>
          </w:p>
        </w:tc>
        <w:tc>
          <w:tcPr>
            <w:tcW w:w="40" w:type="dxa"/>
            <w:tcBorders/>
            <w:vAlign w:val="bottom"/>
          </w:tcPr>
          <w:p>
            <w:pPr>
              <w:pStyle w:val="Normal"/>
              <w:widowControl w:val="false"/>
              <w:tabs>
                <w:tab w:val="clear" w:pos="709"/>
              </w:tabs>
              <w:jc w:val="center"/>
              <w:rPr>
                <w:sz w:val="16"/>
                <w:szCs w:val="16"/>
              </w:rPr>
            </w:pPr>
            <w:r>
              <w:rPr>
                <w:sz w:val="16"/>
                <w:szCs w:val="16"/>
              </w:rPr>
            </w:r>
          </w:p>
        </w:tc>
        <w:tc>
          <w:tcPr>
            <w:tcW w:w="2584" w:type="dxa"/>
            <w:tcBorders/>
            <w:vAlign w:val="bottom"/>
          </w:tcPr>
          <w:p>
            <w:pPr>
              <w:pStyle w:val="Normal"/>
              <w:widowControl w:val="false"/>
              <w:tabs>
                <w:tab w:val="clear" w:pos="709"/>
              </w:tabs>
              <w:jc w:val="center"/>
              <w:rPr>
                <w:sz w:val="16"/>
                <w:szCs w:val="16"/>
              </w:rPr>
            </w:pPr>
            <w:r>
              <w:rPr>
                <w:sz w:val="16"/>
                <w:szCs w:val="16"/>
              </w:rPr>
              <w:t>$500</w:t>
            </w:r>
          </w:p>
        </w:tc>
      </w:tr>
      <w:tr>
        <w:trPr>
          <w:trHeight w:val="300" w:hRule="atLeast"/>
        </w:trPr>
        <w:tc>
          <w:tcPr>
            <w:tcW w:w="2671" w:type="dxa"/>
            <w:tcBorders/>
            <w:vAlign w:val="bottom"/>
          </w:tcPr>
          <w:p>
            <w:pPr>
              <w:pStyle w:val="Normal"/>
              <w:widowControl w:val="false"/>
              <w:tabs>
                <w:tab w:val="clear" w:pos="709"/>
              </w:tabs>
              <w:jc w:val="left"/>
              <w:rPr>
                <w:sz w:val="16"/>
                <w:szCs w:val="16"/>
              </w:rPr>
            </w:pPr>
            <w:r>
              <w:rPr>
                <w:sz w:val="16"/>
                <w:szCs w:val="16"/>
              </w:rPr>
              <w:t>Fines &amp; payment</w:t>
            </w:r>
          </w:p>
        </w:tc>
        <w:tc>
          <w:tcPr>
            <w:tcW w:w="40" w:type="dxa"/>
            <w:tcBorders/>
            <w:vAlign w:val="bottom"/>
          </w:tcPr>
          <w:p>
            <w:pPr>
              <w:pStyle w:val="Normal"/>
              <w:widowControl w:val="false"/>
              <w:tabs>
                <w:tab w:val="clear" w:pos="709"/>
              </w:tabs>
              <w:jc w:val="right"/>
              <w:rPr>
                <w:sz w:val="16"/>
                <w:szCs w:val="16"/>
              </w:rPr>
            </w:pPr>
            <w:r>
              <w:rPr>
                <w:sz w:val="16"/>
                <w:szCs w:val="16"/>
              </w:rPr>
              <w:t>$1,000</w:t>
            </w:r>
          </w:p>
        </w:tc>
        <w:tc>
          <w:tcPr>
            <w:tcW w:w="40" w:type="dxa"/>
            <w:tcBorders/>
            <w:vAlign w:val="bottom"/>
          </w:tcPr>
          <w:p>
            <w:pPr>
              <w:pStyle w:val="Normal"/>
              <w:widowControl w:val="false"/>
              <w:tabs>
                <w:tab w:val="clear" w:pos="709"/>
              </w:tabs>
              <w:jc w:val="center"/>
              <w:rPr>
                <w:sz w:val="16"/>
                <w:szCs w:val="16"/>
              </w:rPr>
            </w:pPr>
            <w:r>
              <w:rPr>
                <w:sz w:val="16"/>
                <w:szCs w:val="16"/>
              </w:rPr>
            </w:r>
          </w:p>
        </w:tc>
        <w:tc>
          <w:tcPr>
            <w:tcW w:w="2584" w:type="dxa"/>
            <w:tcBorders/>
            <w:vAlign w:val="bottom"/>
          </w:tcPr>
          <w:p>
            <w:pPr>
              <w:pStyle w:val="Normal"/>
              <w:widowControl w:val="false"/>
              <w:tabs>
                <w:tab w:val="clear" w:pos="709"/>
              </w:tabs>
              <w:jc w:val="center"/>
              <w:rPr>
                <w:sz w:val="16"/>
                <w:szCs w:val="16"/>
              </w:rPr>
            </w:pPr>
            <w:r>
              <w:rPr>
                <w:sz w:val="16"/>
                <w:szCs w:val="16"/>
              </w:rPr>
              <w:t>$3,500</w:t>
            </w:r>
          </w:p>
        </w:tc>
      </w:tr>
      <w:tr>
        <w:trPr>
          <w:trHeight w:val="300" w:hRule="atLeast"/>
        </w:trPr>
        <w:tc>
          <w:tcPr>
            <w:tcW w:w="2671" w:type="dxa"/>
            <w:tcBorders/>
            <w:vAlign w:val="bottom"/>
          </w:tcPr>
          <w:p>
            <w:pPr>
              <w:pStyle w:val="Normal"/>
              <w:widowControl w:val="false"/>
              <w:tabs>
                <w:tab w:val="clear" w:pos="709"/>
              </w:tabs>
              <w:jc w:val="left"/>
              <w:rPr>
                <w:sz w:val="16"/>
                <w:szCs w:val="16"/>
              </w:rPr>
            </w:pPr>
            <w:r>
              <w:rPr>
                <w:sz w:val="16"/>
                <w:szCs w:val="16"/>
              </w:rPr>
              <w:t>Interest</w:t>
            </w:r>
          </w:p>
        </w:tc>
        <w:tc>
          <w:tcPr>
            <w:tcW w:w="40" w:type="dxa"/>
            <w:tcBorders/>
            <w:vAlign w:val="bottom"/>
          </w:tcPr>
          <w:p>
            <w:pPr>
              <w:pStyle w:val="Normal"/>
              <w:widowControl w:val="false"/>
              <w:tabs>
                <w:tab w:val="clear" w:pos="709"/>
              </w:tabs>
              <w:jc w:val="right"/>
              <w:rPr>
                <w:sz w:val="16"/>
                <w:szCs w:val="16"/>
              </w:rPr>
            </w:pPr>
            <w:r>
              <w:rPr>
                <w:sz w:val="16"/>
                <w:szCs w:val="16"/>
              </w:rPr>
              <w:t>$400</w:t>
            </w:r>
          </w:p>
        </w:tc>
        <w:tc>
          <w:tcPr>
            <w:tcW w:w="40" w:type="dxa"/>
            <w:tcBorders/>
            <w:vAlign w:val="bottom"/>
          </w:tcPr>
          <w:p>
            <w:pPr>
              <w:pStyle w:val="Normal"/>
              <w:widowControl w:val="false"/>
              <w:tabs>
                <w:tab w:val="clear" w:pos="709"/>
              </w:tabs>
              <w:jc w:val="center"/>
              <w:rPr>
                <w:sz w:val="16"/>
                <w:szCs w:val="16"/>
              </w:rPr>
            </w:pPr>
            <w:r>
              <w:rPr>
                <w:sz w:val="16"/>
                <w:szCs w:val="16"/>
              </w:rPr>
            </w:r>
          </w:p>
        </w:tc>
        <w:tc>
          <w:tcPr>
            <w:tcW w:w="2584" w:type="dxa"/>
            <w:tcBorders/>
            <w:vAlign w:val="bottom"/>
          </w:tcPr>
          <w:p>
            <w:pPr>
              <w:pStyle w:val="Normal"/>
              <w:widowControl w:val="false"/>
              <w:tabs>
                <w:tab w:val="clear" w:pos="709"/>
              </w:tabs>
              <w:jc w:val="center"/>
              <w:rPr>
                <w:sz w:val="16"/>
                <w:szCs w:val="16"/>
              </w:rPr>
            </w:pPr>
            <w:r>
              <w:rPr>
                <w:sz w:val="16"/>
                <w:szCs w:val="16"/>
              </w:rPr>
              <w:t>$1,300</w:t>
            </w:r>
          </w:p>
        </w:tc>
      </w:tr>
      <w:tr>
        <w:trPr>
          <w:trHeight w:val="300" w:hRule="atLeast"/>
        </w:trPr>
        <w:tc>
          <w:tcPr>
            <w:tcW w:w="2671" w:type="dxa"/>
            <w:tcBorders/>
            <w:vAlign w:val="bottom"/>
          </w:tcPr>
          <w:p>
            <w:pPr>
              <w:pStyle w:val="Normal"/>
              <w:widowControl w:val="false"/>
              <w:tabs>
                <w:tab w:val="clear" w:pos="709"/>
              </w:tabs>
              <w:jc w:val="left"/>
              <w:rPr>
                <w:sz w:val="16"/>
                <w:szCs w:val="16"/>
              </w:rPr>
            </w:pPr>
            <w:r>
              <w:rPr>
                <w:sz w:val="16"/>
                <w:szCs w:val="16"/>
              </w:rPr>
              <w:t>Donations/gifts/grants</w:t>
            </w:r>
          </w:p>
        </w:tc>
        <w:tc>
          <w:tcPr>
            <w:tcW w:w="40" w:type="dxa"/>
            <w:tcBorders/>
            <w:vAlign w:val="bottom"/>
          </w:tcPr>
          <w:p>
            <w:pPr>
              <w:pStyle w:val="Normal"/>
              <w:widowControl w:val="false"/>
              <w:tabs>
                <w:tab w:val="clear" w:pos="709"/>
              </w:tabs>
              <w:jc w:val="right"/>
              <w:rPr>
                <w:sz w:val="16"/>
                <w:szCs w:val="16"/>
              </w:rPr>
            </w:pPr>
            <w:r>
              <w:rPr>
                <w:sz w:val="16"/>
                <w:szCs w:val="16"/>
              </w:rPr>
              <w:t>$1,300</w:t>
            </w:r>
          </w:p>
        </w:tc>
        <w:tc>
          <w:tcPr>
            <w:tcW w:w="40" w:type="dxa"/>
            <w:tcBorders/>
            <w:vAlign w:val="bottom"/>
          </w:tcPr>
          <w:p>
            <w:pPr>
              <w:pStyle w:val="Normal"/>
              <w:widowControl w:val="false"/>
              <w:tabs>
                <w:tab w:val="clear" w:pos="709"/>
              </w:tabs>
              <w:jc w:val="center"/>
              <w:rPr>
                <w:sz w:val="16"/>
                <w:szCs w:val="16"/>
              </w:rPr>
            </w:pPr>
            <w:r>
              <w:rPr>
                <w:sz w:val="16"/>
                <w:szCs w:val="16"/>
              </w:rPr>
            </w:r>
          </w:p>
        </w:tc>
        <w:tc>
          <w:tcPr>
            <w:tcW w:w="2584" w:type="dxa"/>
            <w:tcBorders/>
            <w:vAlign w:val="bottom"/>
          </w:tcPr>
          <w:p>
            <w:pPr>
              <w:pStyle w:val="Normal"/>
              <w:widowControl w:val="false"/>
              <w:tabs>
                <w:tab w:val="clear" w:pos="709"/>
              </w:tabs>
              <w:jc w:val="center"/>
              <w:rPr>
                <w:sz w:val="16"/>
                <w:szCs w:val="16"/>
              </w:rPr>
            </w:pPr>
            <w:r>
              <w:rPr>
                <w:sz w:val="16"/>
                <w:szCs w:val="16"/>
              </w:rPr>
              <w:t>$500</w:t>
            </w:r>
          </w:p>
        </w:tc>
      </w:tr>
      <w:tr>
        <w:trPr>
          <w:trHeight w:val="300" w:hRule="atLeast"/>
        </w:trPr>
        <w:tc>
          <w:tcPr>
            <w:tcW w:w="2671" w:type="dxa"/>
            <w:tcBorders/>
            <w:vAlign w:val="bottom"/>
          </w:tcPr>
          <w:p>
            <w:pPr>
              <w:pStyle w:val="Normal"/>
              <w:widowControl w:val="false"/>
              <w:tabs>
                <w:tab w:val="clear" w:pos="709"/>
              </w:tabs>
              <w:jc w:val="left"/>
              <w:rPr>
                <w:sz w:val="16"/>
                <w:szCs w:val="16"/>
              </w:rPr>
            </w:pPr>
            <w:r>
              <w:rPr>
                <w:b/>
                <w:sz w:val="16"/>
                <w:szCs w:val="16"/>
              </w:rPr>
              <w:t>Annual Rev</w:t>
            </w:r>
          </w:p>
        </w:tc>
        <w:tc>
          <w:tcPr>
            <w:tcW w:w="40" w:type="dxa"/>
            <w:tcBorders/>
            <w:vAlign w:val="bottom"/>
          </w:tcPr>
          <w:p>
            <w:pPr>
              <w:pStyle w:val="Normal"/>
              <w:widowControl w:val="false"/>
              <w:tabs>
                <w:tab w:val="clear" w:pos="709"/>
              </w:tabs>
              <w:jc w:val="right"/>
              <w:rPr>
                <w:sz w:val="16"/>
                <w:szCs w:val="16"/>
              </w:rPr>
            </w:pPr>
            <w:r>
              <w:rPr>
                <w:b/>
                <w:sz w:val="16"/>
                <w:szCs w:val="16"/>
              </w:rPr>
              <w:t>$2,364,910</w:t>
            </w:r>
          </w:p>
        </w:tc>
        <w:tc>
          <w:tcPr>
            <w:tcW w:w="40" w:type="dxa"/>
            <w:tcBorders/>
            <w:vAlign w:val="bottom"/>
          </w:tcPr>
          <w:p>
            <w:pPr>
              <w:pStyle w:val="Normal"/>
              <w:widowControl w:val="false"/>
              <w:tabs>
                <w:tab w:val="clear" w:pos="709"/>
              </w:tabs>
              <w:jc w:val="center"/>
              <w:rPr>
                <w:sz w:val="16"/>
                <w:szCs w:val="16"/>
              </w:rPr>
            </w:pPr>
            <w:r>
              <w:rPr>
                <w:sz w:val="16"/>
                <w:szCs w:val="16"/>
              </w:rPr>
            </w:r>
          </w:p>
        </w:tc>
        <w:tc>
          <w:tcPr>
            <w:tcW w:w="2584" w:type="dxa"/>
            <w:tcBorders/>
            <w:vAlign w:val="bottom"/>
          </w:tcPr>
          <w:p>
            <w:pPr>
              <w:pStyle w:val="Normal"/>
              <w:widowControl w:val="false"/>
              <w:tabs>
                <w:tab w:val="clear" w:pos="709"/>
              </w:tabs>
              <w:jc w:val="center"/>
              <w:rPr>
                <w:sz w:val="16"/>
                <w:szCs w:val="16"/>
              </w:rPr>
            </w:pPr>
            <w:r>
              <w:rPr>
                <w:sz w:val="16"/>
                <w:szCs w:val="16"/>
              </w:rPr>
              <w:t>$2,633,061</w:t>
            </w:r>
          </w:p>
        </w:tc>
      </w:tr>
      <w:tr>
        <w:trPr>
          <w:trHeight w:val="507" w:hRule="atLeast"/>
        </w:trPr>
        <w:tc>
          <w:tcPr>
            <w:tcW w:w="2671" w:type="dxa"/>
            <w:tcBorders/>
            <w:vAlign w:val="bottom"/>
          </w:tcPr>
          <w:p>
            <w:pPr>
              <w:pStyle w:val="Normal"/>
              <w:widowControl w:val="false"/>
              <w:tabs>
                <w:tab w:val="clear" w:pos="709"/>
              </w:tabs>
              <w:jc w:val="left"/>
              <w:rPr>
                <w:sz w:val="16"/>
                <w:szCs w:val="16"/>
              </w:rPr>
            </w:pPr>
            <w:r>
              <w:rPr>
                <w:sz w:val="16"/>
                <w:szCs w:val="16"/>
              </w:rPr>
              <w:t>Carry fwd (estimated for FY23)</w:t>
            </w:r>
          </w:p>
        </w:tc>
        <w:tc>
          <w:tcPr>
            <w:tcW w:w="40" w:type="dxa"/>
            <w:tcBorders/>
            <w:vAlign w:val="bottom"/>
          </w:tcPr>
          <w:p>
            <w:pPr>
              <w:pStyle w:val="Normal"/>
              <w:widowControl w:val="false"/>
              <w:tabs>
                <w:tab w:val="clear" w:pos="709"/>
              </w:tabs>
              <w:jc w:val="right"/>
              <w:rPr>
                <w:sz w:val="16"/>
                <w:szCs w:val="16"/>
              </w:rPr>
            </w:pPr>
            <w:r>
              <w:rPr>
                <w:sz w:val="16"/>
                <w:szCs w:val="16"/>
              </w:rPr>
              <w:t>$3,269,607</w:t>
            </w:r>
          </w:p>
        </w:tc>
        <w:tc>
          <w:tcPr>
            <w:tcW w:w="40" w:type="dxa"/>
            <w:tcBorders/>
            <w:vAlign w:val="bottom"/>
          </w:tcPr>
          <w:p>
            <w:pPr>
              <w:pStyle w:val="Normal"/>
              <w:widowControl w:val="false"/>
              <w:tabs>
                <w:tab w:val="clear" w:pos="709"/>
              </w:tabs>
              <w:jc w:val="center"/>
              <w:rPr>
                <w:sz w:val="16"/>
                <w:szCs w:val="16"/>
              </w:rPr>
            </w:pPr>
            <w:r>
              <w:rPr>
                <w:sz w:val="16"/>
                <w:szCs w:val="16"/>
              </w:rPr>
            </w:r>
          </w:p>
        </w:tc>
        <w:tc>
          <w:tcPr>
            <w:tcW w:w="2584" w:type="dxa"/>
            <w:tcBorders/>
            <w:vAlign w:val="bottom"/>
          </w:tcPr>
          <w:p>
            <w:pPr>
              <w:pStyle w:val="Normal"/>
              <w:widowControl w:val="false"/>
              <w:tabs>
                <w:tab w:val="clear" w:pos="709"/>
              </w:tabs>
              <w:jc w:val="center"/>
              <w:rPr>
                <w:sz w:val="16"/>
                <w:szCs w:val="16"/>
              </w:rPr>
            </w:pPr>
            <w:r>
              <w:rPr>
                <w:sz w:val="16"/>
                <w:szCs w:val="16"/>
              </w:rPr>
              <w:t>$4,627,925</w:t>
            </w:r>
          </w:p>
        </w:tc>
      </w:tr>
      <w:tr>
        <w:trPr>
          <w:trHeight w:val="300" w:hRule="atLeast"/>
        </w:trPr>
        <w:tc>
          <w:tcPr>
            <w:tcW w:w="2671" w:type="dxa"/>
            <w:tcBorders/>
            <w:vAlign w:val="bottom"/>
          </w:tcPr>
          <w:p>
            <w:pPr>
              <w:pStyle w:val="Normal"/>
              <w:widowControl w:val="false"/>
              <w:tabs>
                <w:tab w:val="clear" w:pos="709"/>
              </w:tabs>
              <w:jc w:val="left"/>
              <w:rPr>
                <w:sz w:val="16"/>
                <w:szCs w:val="16"/>
              </w:rPr>
            </w:pPr>
            <w:r>
              <w:rPr>
                <w:b/>
                <w:sz w:val="16"/>
                <w:szCs w:val="16"/>
              </w:rPr>
              <w:t>Revenue Total</w:t>
            </w:r>
          </w:p>
        </w:tc>
        <w:tc>
          <w:tcPr>
            <w:tcW w:w="40" w:type="dxa"/>
            <w:tcBorders/>
            <w:vAlign w:val="bottom"/>
          </w:tcPr>
          <w:p>
            <w:pPr>
              <w:pStyle w:val="Normal"/>
              <w:widowControl w:val="false"/>
              <w:tabs>
                <w:tab w:val="clear" w:pos="709"/>
              </w:tabs>
              <w:jc w:val="right"/>
              <w:rPr>
                <w:sz w:val="16"/>
                <w:szCs w:val="16"/>
              </w:rPr>
            </w:pPr>
            <w:r>
              <w:rPr>
                <w:b/>
                <w:sz w:val="16"/>
                <w:szCs w:val="16"/>
              </w:rPr>
              <w:t>$5,634,517</w:t>
            </w:r>
          </w:p>
        </w:tc>
        <w:tc>
          <w:tcPr>
            <w:tcW w:w="40" w:type="dxa"/>
            <w:tcBorders/>
            <w:vAlign w:val="bottom"/>
          </w:tcPr>
          <w:p>
            <w:pPr>
              <w:pStyle w:val="Normal"/>
              <w:widowControl w:val="false"/>
              <w:tabs>
                <w:tab w:val="clear" w:pos="709"/>
              </w:tabs>
              <w:jc w:val="center"/>
              <w:rPr>
                <w:sz w:val="16"/>
                <w:szCs w:val="16"/>
              </w:rPr>
            </w:pPr>
            <w:r>
              <w:rPr>
                <w:sz w:val="16"/>
                <w:szCs w:val="16"/>
              </w:rPr>
            </w:r>
          </w:p>
        </w:tc>
        <w:tc>
          <w:tcPr>
            <w:tcW w:w="2584" w:type="dxa"/>
            <w:tcBorders/>
            <w:vAlign w:val="bottom"/>
          </w:tcPr>
          <w:p>
            <w:pPr>
              <w:pStyle w:val="Normal"/>
              <w:widowControl w:val="false"/>
              <w:tabs>
                <w:tab w:val="clear" w:pos="709"/>
              </w:tabs>
              <w:jc w:val="center"/>
              <w:rPr>
                <w:sz w:val="16"/>
                <w:szCs w:val="16"/>
              </w:rPr>
            </w:pPr>
            <w:r>
              <w:rPr>
                <w:b/>
                <w:sz w:val="16"/>
                <w:szCs w:val="16"/>
              </w:rPr>
              <w:t>$7,260,986</w:t>
            </w:r>
          </w:p>
        </w:tc>
      </w:tr>
      <w:tr>
        <w:trPr>
          <w:trHeight w:val="199" w:hRule="atLeast"/>
        </w:trPr>
        <w:tc>
          <w:tcPr>
            <w:tcW w:w="2671" w:type="dxa"/>
            <w:tcBorders/>
            <w:vAlign w:val="bottom"/>
          </w:tcPr>
          <w:p>
            <w:pPr>
              <w:pStyle w:val="Normal"/>
              <w:widowControl w:val="false"/>
              <w:tabs>
                <w:tab w:val="clear" w:pos="709"/>
              </w:tabs>
              <w:jc w:val="left"/>
              <w:rPr>
                <w:b/>
                <w:b/>
                <w:sz w:val="16"/>
                <w:szCs w:val="16"/>
                <w:u w:val="single"/>
              </w:rPr>
            </w:pPr>
            <w:r>
              <w:rPr>
                <w:b/>
                <w:sz w:val="16"/>
                <w:szCs w:val="16"/>
                <w:u w:val="single"/>
              </w:rPr>
            </w:r>
          </w:p>
        </w:tc>
        <w:tc>
          <w:tcPr>
            <w:tcW w:w="40" w:type="dxa"/>
            <w:tcBorders/>
            <w:vAlign w:val="bottom"/>
          </w:tcPr>
          <w:p>
            <w:pPr>
              <w:pStyle w:val="Normal"/>
              <w:widowControl w:val="false"/>
              <w:tabs>
                <w:tab w:val="clear" w:pos="709"/>
              </w:tabs>
              <w:jc w:val="left"/>
              <w:rPr>
                <w:sz w:val="16"/>
                <w:szCs w:val="16"/>
              </w:rPr>
            </w:pPr>
            <w:r>
              <w:rPr>
                <w:sz w:val="16"/>
                <w:szCs w:val="16"/>
              </w:rPr>
            </w:r>
          </w:p>
        </w:tc>
        <w:tc>
          <w:tcPr>
            <w:tcW w:w="40" w:type="dxa"/>
            <w:tcBorders/>
            <w:vAlign w:val="bottom"/>
          </w:tcPr>
          <w:p>
            <w:pPr>
              <w:pStyle w:val="Normal"/>
              <w:widowControl w:val="false"/>
              <w:tabs>
                <w:tab w:val="clear" w:pos="709"/>
              </w:tabs>
              <w:jc w:val="center"/>
              <w:rPr>
                <w:sz w:val="16"/>
                <w:szCs w:val="16"/>
              </w:rPr>
            </w:pPr>
            <w:r>
              <w:rPr>
                <w:sz w:val="16"/>
                <w:szCs w:val="16"/>
              </w:rPr>
            </w:r>
          </w:p>
        </w:tc>
        <w:tc>
          <w:tcPr>
            <w:tcW w:w="2584" w:type="dxa"/>
            <w:tcBorders/>
            <w:vAlign w:val="bottom"/>
          </w:tcPr>
          <w:p>
            <w:pPr>
              <w:pStyle w:val="Normal"/>
              <w:widowControl w:val="false"/>
              <w:tabs>
                <w:tab w:val="clear" w:pos="709"/>
              </w:tabs>
              <w:jc w:val="center"/>
              <w:rPr>
                <w:sz w:val="16"/>
                <w:szCs w:val="16"/>
              </w:rPr>
            </w:pPr>
            <w:r>
              <w:rPr>
                <w:sz w:val="16"/>
                <w:szCs w:val="16"/>
              </w:rPr>
            </w:r>
          </w:p>
        </w:tc>
      </w:tr>
      <w:tr>
        <w:trPr>
          <w:trHeight w:val="175" w:hRule="atLeast"/>
        </w:trPr>
        <w:tc>
          <w:tcPr>
            <w:tcW w:w="2671" w:type="dxa"/>
            <w:tcBorders/>
            <w:vAlign w:val="bottom"/>
          </w:tcPr>
          <w:p>
            <w:pPr>
              <w:pStyle w:val="Normal"/>
              <w:widowControl w:val="false"/>
              <w:tabs>
                <w:tab w:val="clear" w:pos="709"/>
              </w:tabs>
              <w:jc w:val="left"/>
              <w:rPr>
                <w:sz w:val="16"/>
                <w:szCs w:val="16"/>
              </w:rPr>
            </w:pPr>
            <w:r>
              <w:rPr>
                <w:b/>
                <w:sz w:val="16"/>
                <w:szCs w:val="16"/>
                <w:u w:val="single"/>
              </w:rPr>
              <w:t>Expected Expenditures</w:t>
            </w:r>
          </w:p>
        </w:tc>
        <w:tc>
          <w:tcPr>
            <w:tcW w:w="40" w:type="dxa"/>
            <w:tcBorders/>
            <w:vAlign w:val="bottom"/>
          </w:tcPr>
          <w:p>
            <w:pPr>
              <w:pStyle w:val="Normal"/>
              <w:widowControl w:val="false"/>
              <w:tabs>
                <w:tab w:val="clear" w:pos="709"/>
              </w:tabs>
              <w:jc w:val="left"/>
              <w:rPr>
                <w:sz w:val="16"/>
                <w:szCs w:val="16"/>
              </w:rPr>
            </w:pPr>
            <w:r>
              <w:rPr>
                <w:sz w:val="16"/>
                <w:szCs w:val="16"/>
              </w:rPr>
            </w:r>
          </w:p>
        </w:tc>
        <w:tc>
          <w:tcPr>
            <w:tcW w:w="40" w:type="dxa"/>
            <w:tcBorders/>
            <w:vAlign w:val="bottom"/>
          </w:tcPr>
          <w:p>
            <w:pPr>
              <w:pStyle w:val="Normal"/>
              <w:widowControl w:val="false"/>
              <w:tabs>
                <w:tab w:val="clear" w:pos="709"/>
              </w:tabs>
              <w:jc w:val="center"/>
              <w:rPr>
                <w:sz w:val="16"/>
                <w:szCs w:val="16"/>
              </w:rPr>
            </w:pPr>
            <w:r>
              <w:rPr>
                <w:sz w:val="16"/>
                <w:szCs w:val="16"/>
              </w:rPr>
            </w:r>
          </w:p>
        </w:tc>
        <w:tc>
          <w:tcPr>
            <w:tcW w:w="2584" w:type="dxa"/>
            <w:tcBorders/>
            <w:vAlign w:val="bottom"/>
          </w:tcPr>
          <w:p>
            <w:pPr>
              <w:pStyle w:val="Normal"/>
              <w:widowControl w:val="false"/>
              <w:tabs>
                <w:tab w:val="clear" w:pos="709"/>
              </w:tabs>
              <w:jc w:val="center"/>
              <w:rPr>
                <w:sz w:val="16"/>
                <w:szCs w:val="16"/>
              </w:rPr>
            </w:pPr>
            <w:r>
              <w:rPr>
                <w:sz w:val="16"/>
                <w:szCs w:val="16"/>
              </w:rPr>
            </w:r>
          </w:p>
        </w:tc>
      </w:tr>
      <w:tr>
        <w:trPr>
          <w:trHeight w:val="300" w:hRule="atLeast"/>
        </w:trPr>
        <w:tc>
          <w:tcPr>
            <w:tcW w:w="2671" w:type="dxa"/>
            <w:tcBorders/>
            <w:vAlign w:val="bottom"/>
          </w:tcPr>
          <w:p>
            <w:pPr>
              <w:pStyle w:val="Normal"/>
              <w:widowControl w:val="false"/>
              <w:tabs>
                <w:tab w:val="clear" w:pos="709"/>
              </w:tabs>
              <w:jc w:val="left"/>
              <w:rPr>
                <w:sz w:val="16"/>
                <w:szCs w:val="16"/>
              </w:rPr>
            </w:pPr>
            <w:r>
              <w:rPr>
                <w:b/>
                <w:i/>
                <w:sz w:val="16"/>
                <w:szCs w:val="16"/>
              </w:rPr>
              <w:t>Annual Expenses</w:t>
            </w:r>
          </w:p>
        </w:tc>
        <w:tc>
          <w:tcPr>
            <w:tcW w:w="40" w:type="dxa"/>
            <w:tcBorders/>
            <w:vAlign w:val="bottom"/>
          </w:tcPr>
          <w:p>
            <w:pPr>
              <w:pStyle w:val="Normal"/>
              <w:widowControl w:val="false"/>
              <w:tabs>
                <w:tab w:val="clear" w:pos="709"/>
              </w:tabs>
              <w:jc w:val="left"/>
              <w:rPr>
                <w:sz w:val="16"/>
                <w:szCs w:val="16"/>
              </w:rPr>
            </w:pPr>
            <w:r>
              <w:rPr>
                <w:sz w:val="16"/>
                <w:szCs w:val="16"/>
              </w:rPr>
            </w:r>
          </w:p>
        </w:tc>
        <w:tc>
          <w:tcPr>
            <w:tcW w:w="40" w:type="dxa"/>
            <w:tcBorders/>
            <w:vAlign w:val="bottom"/>
          </w:tcPr>
          <w:p>
            <w:pPr>
              <w:pStyle w:val="Normal"/>
              <w:widowControl w:val="false"/>
              <w:tabs>
                <w:tab w:val="clear" w:pos="709"/>
              </w:tabs>
              <w:jc w:val="center"/>
              <w:rPr>
                <w:sz w:val="16"/>
                <w:szCs w:val="16"/>
              </w:rPr>
            </w:pPr>
            <w:r>
              <w:rPr>
                <w:sz w:val="16"/>
                <w:szCs w:val="16"/>
              </w:rPr>
            </w:r>
          </w:p>
        </w:tc>
        <w:tc>
          <w:tcPr>
            <w:tcW w:w="2584" w:type="dxa"/>
            <w:tcBorders/>
            <w:vAlign w:val="bottom"/>
          </w:tcPr>
          <w:p>
            <w:pPr>
              <w:pStyle w:val="Normal"/>
              <w:widowControl w:val="false"/>
              <w:tabs>
                <w:tab w:val="clear" w:pos="709"/>
              </w:tabs>
              <w:jc w:val="center"/>
              <w:rPr>
                <w:sz w:val="16"/>
                <w:szCs w:val="16"/>
              </w:rPr>
            </w:pPr>
            <w:r>
              <w:rPr>
                <w:sz w:val="16"/>
                <w:szCs w:val="16"/>
              </w:rPr>
            </w:r>
          </w:p>
        </w:tc>
      </w:tr>
      <w:tr>
        <w:trPr>
          <w:trHeight w:val="300" w:hRule="atLeast"/>
        </w:trPr>
        <w:tc>
          <w:tcPr>
            <w:tcW w:w="2671" w:type="dxa"/>
            <w:tcBorders/>
            <w:vAlign w:val="bottom"/>
          </w:tcPr>
          <w:p>
            <w:pPr>
              <w:pStyle w:val="Normal"/>
              <w:widowControl w:val="false"/>
              <w:tabs>
                <w:tab w:val="clear" w:pos="709"/>
              </w:tabs>
              <w:jc w:val="left"/>
              <w:rPr>
                <w:sz w:val="16"/>
                <w:szCs w:val="16"/>
              </w:rPr>
            </w:pPr>
            <w:r>
              <w:rPr>
                <w:sz w:val="16"/>
                <w:szCs w:val="16"/>
              </w:rPr>
              <w:t>Personnel Services</w:t>
            </w:r>
          </w:p>
        </w:tc>
        <w:tc>
          <w:tcPr>
            <w:tcW w:w="40" w:type="dxa"/>
            <w:tcBorders/>
            <w:vAlign w:val="bottom"/>
          </w:tcPr>
          <w:p>
            <w:pPr>
              <w:pStyle w:val="Normal"/>
              <w:widowControl w:val="false"/>
              <w:tabs>
                <w:tab w:val="clear" w:pos="709"/>
              </w:tabs>
              <w:jc w:val="right"/>
              <w:rPr>
                <w:sz w:val="16"/>
                <w:szCs w:val="16"/>
              </w:rPr>
            </w:pPr>
            <w:r>
              <w:rPr>
                <w:sz w:val="16"/>
                <w:szCs w:val="16"/>
              </w:rPr>
              <w:t>$1,310,848</w:t>
            </w:r>
          </w:p>
        </w:tc>
        <w:tc>
          <w:tcPr>
            <w:tcW w:w="40" w:type="dxa"/>
            <w:tcBorders/>
            <w:vAlign w:val="bottom"/>
          </w:tcPr>
          <w:p>
            <w:pPr>
              <w:pStyle w:val="Normal"/>
              <w:widowControl w:val="false"/>
              <w:tabs>
                <w:tab w:val="clear" w:pos="709"/>
              </w:tabs>
              <w:jc w:val="center"/>
              <w:rPr>
                <w:sz w:val="16"/>
                <w:szCs w:val="16"/>
              </w:rPr>
            </w:pPr>
            <w:r>
              <w:rPr>
                <w:sz w:val="16"/>
                <w:szCs w:val="16"/>
              </w:rPr>
            </w:r>
          </w:p>
        </w:tc>
        <w:tc>
          <w:tcPr>
            <w:tcW w:w="2584" w:type="dxa"/>
            <w:tcBorders/>
            <w:vAlign w:val="bottom"/>
          </w:tcPr>
          <w:p>
            <w:pPr>
              <w:pStyle w:val="Normal"/>
              <w:widowControl w:val="false"/>
              <w:tabs>
                <w:tab w:val="clear" w:pos="709"/>
              </w:tabs>
              <w:jc w:val="center"/>
              <w:rPr>
                <w:sz w:val="16"/>
                <w:szCs w:val="16"/>
              </w:rPr>
            </w:pPr>
            <w:r>
              <w:rPr>
                <w:sz w:val="16"/>
                <w:szCs w:val="16"/>
              </w:rPr>
              <w:t>$1,352,089</w:t>
            </w:r>
          </w:p>
        </w:tc>
      </w:tr>
      <w:tr>
        <w:trPr>
          <w:trHeight w:val="300" w:hRule="atLeast"/>
        </w:trPr>
        <w:tc>
          <w:tcPr>
            <w:tcW w:w="2671" w:type="dxa"/>
            <w:tcBorders/>
            <w:vAlign w:val="bottom"/>
          </w:tcPr>
          <w:p>
            <w:pPr>
              <w:pStyle w:val="Normal"/>
              <w:widowControl w:val="false"/>
              <w:tabs>
                <w:tab w:val="clear" w:pos="709"/>
              </w:tabs>
              <w:jc w:val="left"/>
              <w:rPr>
                <w:sz w:val="16"/>
                <w:szCs w:val="16"/>
              </w:rPr>
            </w:pPr>
            <w:r>
              <w:rPr>
                <w:sz w:val="16"/>
                <w:szCs w:val="16"/>
              </w:rPr>
              <w:t>Operational Services</w:t>
            </w:r>
          </w:p>
        </w:tc>
        <w:tc>
          <w:tcPr>
            <w:tcW w:w="40" w:type="dxa"/>
            <w:tcBorders/>
            <w:vAlign w:val="bottom"/>
          </w:tcPr>
          <w:p>
            <w:pPr>
              <w:pStyle w:val="Normal"/>
              <w:widowControl w:val="false"/>
              <w:tabs>
                <w:tab w:val="clear" w:pos="709"/>
              </w:tabs>
              <w:jc w:val="right"/>
              <w:rPr>
                <w:sz w:val="16"/>
                <w:szCs w:val="16"/>
              </w:rPr>
            </w:pPr>
            <w:r>
              <w:rPr>
                <w:sz w:val="16"/>
                <w:szCs w:val="16"/>
              </w:rPr>
              <w:t>$309,755</w:t>
            </w:r>
          </w:p>
        </w:tc>
        <w:tc>
          <w:tcPr>
            <w:tcW w:w="40" w:type="dxa"/>
            <w:tcBorders/>
            <w:vAlign w:val="bottom"/>
          </w:tcPr>
          <w:p>
            <w:pPr>
              <w:pStyle w:val="Normal"/>
              <w:widowControl w:val="false"/>
              <w:tabs>
                <w:tab w:val="clear" w:pos="709"/>
              </w:tabs>
              <w:jc w:val="center"/>
              <w:rPr>
                <w:sz w:val="16"/>
                <w:szCs w:val="16"/>
              </w:rPr>
            </w:pPr>
            <w:r>
              <w:rPr>
                <w:sz w:val="16"/>
                <w:szCs w:val="16"/>
              </w:rPr>
            </w:r>
          </w:p>
        </w:tc>
        <w:tc>
          <w:tcPr>
            <w:tcW w:w="2584" w:type="dxa"/>
            <w:tcBorders/>
            <w:vAlign w:val="bottom"/>
          </w:tcPr>
          <w:p>
            <w:pPr>
              <w:pStyle w:val="Normal"/>
              <w:widowControl w:val="false"/>
              <w:tabs>
                <w:tab w:val="clear" w:pos="709"/>
              </w:tabs>
              <w:jc w:val="center"/>
              <w:rPr>
                <w:sz w:val="16"/>
                <w:szCs w:val="16"/>
              </w:rPr>
            </w:pPr>
            <w:r>
              <w:rPr>
                <w:sz w:val="16"/>
                <w:szCs w:val="16"/>
              </w:rPr>
              <w:t>$387,735</w:t>
            </w:r>
          </w:p>
        </w:tc>
      </w:tr>
      <w:tr>
        <w:trPr>
          <w:trHeight w:val="300" w:hRule="atLeast"/>
        </w:trPr>
        <w:tc>
          <w:tcPr>
            <w:tcW w:w="2671" w:type="dxa"/>
            <w:tcBorders/>
            <w:vAlign w:val="bottom"/>
          </w:tcPr>
          <w:p>
            <w:pPr>
              <w:pStyle w:val="Normal"/>
              <w:widowControl w:val="false"/>
              <w:tabs>
                <w:tab w:val="clear" w:pos="709"/>
              </w:tabs>
              <w:jc w:val="left"/>
              <w:rPr>
                <w:sz w:val="16"/>
                <w:szCs w:val="16"/>
              </w:rPr>
            </w:pPr>
            <w:r>
              <w:rPr>
                <w:sz w:val="16"/>
                <w:szCs w:val="16"/>
              </w:rPr>
              <w:t>Materials / Supplies</w:t>
            </w:r>
          </w:p>
        </w:tc>
        <w:tc>
          <w:tcPr>
            <w:tcW w:w="40" w:type="dxa"/>
            <w:tcBorders/>
            <w:vAlign w:val="bottom"/>
          </w:tcPr>
          <w:p>
            <w:pPr>
              <w:pStyle w:val="Normal"/>
              <w:widowControl w:val="false"/>
              <w:tabs>
                <w:tab w:val="clear" w:pos="709"/>
              </w:tabs>
              <w:jc w:val="right"/>
              <w:rPr>
                <w:sz w:val="16"/>
                <w:szCs w:val="16"/>
              </w:rPr>
            </w:pPr>
            <w:r>
              <w:rPr>
                <w:sz w:val="16"/>
                <w:szCs w:val="16"/>
              </w:rPr>
              <w:t>$70,000</w:t>
            </w:r>
          </w:p>
        </w:tc>
        <w:tc>
          <w:tcPr>
            <w:tcW w:w="40" w:type="dxa"/>
            <w:tcBorders/>
            <w:vAlign w:val="bottom"/>
          </w:tcPr>
          <w:p>
            <w:pPr>
              <w:pStyle w:val="Normal"/>
              <w:widowControl w:val="false"/>
              <w:tabs>
                <w:tab w:val="clear" w:pos="709"/>
              </w:tabs>
              <w:jc w:val="center"/>
              <w:rPr>
                <w:sz w:val="16"/>
                <w:szCs w:val="16"/>
              </w:rPr>
            </w:pPr>
            <w:r>
              <w:rPr>
                <w:sz w:val="16"/>
                <w:szCs w:val="16"/>
              </w:rPr>
            </w:r>
          </w:p>
        </w:tc>
        <w:tc>
          <w:tcPr>
            <w:tcW w:w="2584" w:type="dxa"/>
            <w:tcBorders/>
            <w:vAlign w:val="bottom"/>
          </w:tcPr>
          <w:p>
            <w:pPr>
              <w:pStyle w:val="Normal"/>
              <w:widowControl w:val="false"/>
              <w:tabs>
                <w:tab w:val="clear" w:pos="709"/>
              </w:tabs>
              <w:jc w:val="center"/>
              <w:rPr>
                <w:sz w:val="16"/>
                <w:szCs w:val="16"/>
              </w:rPr>
            </w:pPr>
            <w:r>
              <w:rPr>
                <w:sz w:val="16"/>
                <w:szCs w:val="16"/>
              </w:rPr>
              <w:t>$102,000</w:t>
            </w:r>
          </w:p>
        </w:tc>
      </w:tr>
      <w:tr>
        <w:trPr>
          <w:trHeight w:val="300" w:hRule="atLeast"/>
        </w:trPr>
        <w:tc>
          <w:tcPr>
            <w:tcW w:w="2671" w:type="dxa"/>
            <w:tcBorders/>
            <w:vAlign w:val="bottom"/>
          </w:tcPr>
          <w:p>
            <w:pPr>
              <w:pStyle w:val="Normal"/>
              <w:widowControl w:val="false"/>
              <w:tabs>
                <w:tab w:val="clear" w:pos="709"/>
              </w:tabs>
              <w:jc w:val="left"/>
              <w:rPr>
                <w:sz w:val="16"/>
                <w:szCs w:val="16"/>
              </w:rPr>
            </w:pPr>
            <w:r>
              <w:rPr>
                <w:sz w:val="16"/>
                <w:szCs w:val="16"/>
              </w:rPr>
              <w:t>Library Materials</w:t>
            </w:r>
          </w:p>
        </w:tc>
        <w:tc>
          <w:tcPr>
            <w:tcW w:w="40" w:type="dxa"/>
            <w:tcBorders/>
            <w:vAlign w:val="bottom"/>
          </w:tcPr>
          <w:p>
            <w:pPr>
              <w:pStyle w:val="Normal"/>
              <w:widowControl w:val="false"/>
              <w:tabs>
                <w:tab w:val="clear" w:pos="709"/>
              </w:tabs>
              <w:jc w:val="right"/>
              <w:rPr>
                <w:sz w:val="16"/>
                <w:szCs w:val="16"/>
              </w:rPr>
            </w:pPr>
            <w:r>
              <w:rPr>
                <w:sz w:val="16"/>
                <w:szCs w:val="16"/>
              </w:rPr>
              <w:t>$291,341</w:t>
            </w:r>
          </w:p>
        </w:tc>
        <w:tc>
          <w:tcPr>
            <w:tcW w:w="40" w:type="dxa"/>
            <w:tcBorders/>
            <w:vAlign w:val="bottom"/>
          </w:tcPr>
          <w:p>
            <w:pPr>
              <w:pStyle w:val="Normal"/>
              <w:widowControl w:val="false"/>
              <w:tabs>
                <w:tab w:val="clear" w:pos="709"/>
              </w:tabs>
              <w:jc w:val="center"/>
              <w:rPr>
                <w:sz w:val="16"/>
                <w:szCs w:val="16"/>
              </w:rPr>
            </w:pPr>
            <w:r>
              <w:rPr>
                <w:sz w:val="16"/>
                <w:szCs w:val="16"/>
              </w:rPr>
            </w:r>
          </w:p>
        </w:tc>
        <w:tc>
          <w:tcPr>
            <w:tcW w:w="2584" w:type="dxa"/>
            <w:tcBorders/>
            <w:vAlign w:val="bottom"/>
          </w:tcPr>
          <w:p>
            <w:pPr>
              <w:pStyle w:val="Normal"/>
              <w:widowControl w:val="false"/>
              <w:tabs>
                <w:tab w:val="clear" w:pos="709"/>
              </w:tabs>
              <w:jc w:val="center"/>
              <w:rPr>
                <w:sz w:val="16"/>
                <w:szCs w:val="16"/>
              </w:rPr>
            </w:pPr>
            <w:r>
              <w:rPr>
                <w:sz w:val="16"/>
                <w:szCs w:val="16"/>
              </w:rPr>
              <w:t>$317,120</w:t>
            </w:r>
          </w:p>
        </w:tc>
      </w:tr>
      <w:tr>
        <w:trPr>
          <w:trHeight w:val="300" w:hRule="atLeast"/>
        </w:trPr>
        <w:tc>
          <w:tcPr>
            <w:tcW w:w="2671" w:type="dxa"/>
            <w:tcBorders/>
            <w:vAlign w:val="bottom"/>
          </w:tcPr>
          <w:p>
            <w:pPr>
              <w:pStyle w:val="Normal"/>
              <w:widowControl w:val="false"/>
              <w:tabs>
                <w:tab w:val="clear" w:pos="709"/>
              </w:tabs>
              <w:jc w:val="left"/>
              <w:rPr>
                <w:sz w:val="16"/>
                <w:szCs w:val="16"/>
              </w:rPr>
            </w:pPr>
            <w:r>
              <w:rPr>
                <w:sz w:val="16"/>
                <w:szCs w:val="16"/>
              </w:rPr>
              <w:t>Equipment &amp; Furnishings</w:t>
            </w:r>
          </w:p>
        </w:tc>
        <w:tc>
          <w:tcPr>
            <w:tcW w:w="40" w:type="dxa"/>
            <w:tcBorders/>
            <w:vAlign w:val="bottom"/>
          </w:tcPr>
          <w:p>
            <w:pPr>
              <w:pStyle w:val="Normal"/>
              <w:widowControl w:val="false"/>
              <w:tabs>
                <w:tab w:val="clear" w:pos="709"/>
              </w:tabs>
              <w:jc w:val="right"/>
              <w:rPr>
                <w:sz w:val="16"/>
                <w:szCs w:val="16"/>
              </w:rPr>
            </w:pPr>
            <w:r>
              <w:rPr>
                <w:sz w:val="16"/>
                <w:szCs w:val="16"/>
              </w:rPr>
              <w:t>$70,000</w:t>
            </w:r>
          </w:p>
        </w:tc>
        <w:tc>
          <w:tcPr>
            <w:tcW w:w="40" w:type="dxa"/>
            <w:tcBorders/>
            <w:vAlign w:val="bottom"/>
          </w:tcPr>
          <w:p>
            <w:pPr>
              <w:pStyle w:val="Normal"/>
              <w:widowControl w:val="false"/>
              <w:tabs>
                <w:tab w:val="clear" w:pos="709"/>
              </w:tabs>
              <w:jc w:val="center"/>
              <w:rPr>
                <w:sz w:val="16"/>
                <w:szCs w:val="16"/>
              </w:rPr>
            </w:pPr>
            <w:r>
              <w:rPr>
                <w:sz w:val="16"/>
                <w:szCs w:val="16"/>
              </w:rPr>
            </w:r>
          </w:p>
        </w:tc>
        <w:tc>
          <w:tcPr>
            <w:tcW w:w="2584" w:type="dxa"/>
            <w:tcBorders/>
            <w:vAlign w:val="bottom"/>
          </w:tcPr>
          <w:p>
            <w:pPr>
              <w:pStyle w:val="Normal"/>
              <w:widowControl w:val="false"/>
              <w:tabs>
                <w:tab w:val="clear" w:pos="709"/>
              </w:tabs>
              <w:jc w:val="center"/>
              <w:rPr>
                <w:sz w:val="16"/>
                <w:szCs w:val="16"/>
              </w:rPr>
            </w:pPr>
            <w:r>
              <w:rPr>
                <w:sz w:val="16"/>
                <w:szCs w:val="16"/>
              </w:rPr>
              <w:t>$70,000</w:t>
            </w:r>
          </w:p>
        </w:tc>
      </w:tr>
      <w:tr>
        <w:trPr>
          <w:trHeight w:val="300" w:hRule="atLeast"/>
        </w:trPr>
        <w:tc>
          <w:tcPr>
            <w:tcW w:w="2671" w:type="dxa"/>
            <w:tcBorders/>
            <w:vAlign w:val="bottom"/>
          </w:tcPr>
          <w:p>
            <w:pPr>
              <w:pStyle w:val="Normal"/>
              <w:widowControl w:val="false"/>
              <w:tabs>
                <w:tab w:val="clear" w:pos="709"/>
              </w:tabs>
              <w:jc w:val="left"/>
              <w:rPr>
                <w:sz w:val="16"/>
                <w:szCs w:val="16"/>
              </w:rPr>
            </w:pPr>
            <w:r>
              <w:rPr>
                <w:sz w:val="16"/>
                <w:szCs w:val="16"/>
              </w:rPr>
              <w:t>Training, Travel, Edu.</w:t>
            </w:r>
          </w:p>
        </w:tc>
        <w:tc>
          <w:tcPr>
            <w:tcW w:w="40" w:type="dxa"/>
            <w:tcBorders/>
            <w:vAlign w:val="bottom"/>
          </w:tcPr>
          <w:p>
            <w:pPr>
              <w:pStyle w:val="Normal"/>
              <w:widowControl w:val="false"/>
              <w:tabs>
                <w:tab w:val="clear" w:pos="709"/>
              </w:tabs>
              <w:jc w:val="right"/>
              <w:rPr>
                <w:sz w:val="16"/>
                <w:szCs w:val="16"/>
              </w:rPr>
            </w:pPr>
            <w:r>
              <w:rPr>
                <w:sz w:val="16"/>
                <w:szCs w:val="16"/>
              </w:rPr>
              <w:t>$30,000</w:t>
            </w:r>
          </w:p>
        </w:tc>
        <w:tc>
          <w:tcPr>
            <w:tcW w:w="40" w:type="dxa"/>
            <w:tcBorders/>
            <w:vAlign w:val="bottom"/>
          </w:tcPr>
          <w:p>
            <w:pPr>
              <w:pStyle w:val="Normal"/>
              <w:widowControl w:val="false"/>
              <w:tabs>
                <w:tab w:val="clear" w:pos="709"/>
              </w:tabs>
              <w:jc w:val="center"/>
              <w:rPr>
                <w:sz w:val="16"/>
                <w:szCs w:val="16"/>
              </w:rPr>
            </w:pPr>
            <w:r>
              <w:rPr>
                <w:sz w:val="16"/>
                <w:szCs w:val="16"/>
              </w:rPr>
            </w:r>
          </w:p>
        </w:tc>
        <w:tc>
          <w:tcPr>
            <w:tcW w:w="2584" w:type="dxa"/>
            <w:tcBorders/>
            <w:vAlign w:val="bottom"/>
          </w:tcPr>
          <w:p>
            <w:pPr>
              <w:pStyle w:val="Normal"/>
              <w:widowControl w:val="false"/>
              <w:tabs>
                <w:tab w:val="clear" w:pos="709"/>
              </w:tabs>
              <w:jc w:val="center"/>
              <w:rPr>
                <w:sz w:val="16"/>
                <w:szCs w:val="16"/>
              </w:rPr>
            </w:pPr>
            <w:r>
              <w:rPr>
                <w:sz w:val="16"/>
                <w:szCs w:val="16"/>
              </w:rPr>
              <w:t>$49,050</w:t>
            </w:r>
          </w:p>
        </w:tc>
      </w:tr>
      <w:tr>
        <w:trPr>
          <w:trHeight w:val="300" w:hRule="atLeast"/>
        </w:trPr>
        <w:tc>
          <w:tcPr>
            <w:tcW w:w="2671" w:type="dxa"/>
            <w:tcBorders/>
            <w:vAlign w:val="bottom"/>
          </w:tcPr>
          <w:p>
            <w:pPr>
              <w:pStyle w:val="Normal"/>
              <w:widowControl w:val="false"/>
              <w:tabs>
                <w:tab w:val="clear" w:pos="709"/>
              </w:tabs>
              <w:jc w:val="left"/>
              <w:rPr>
                <w:sz w:val="16"/>
                <w:szCs w:val="16"/>
              </w:rPr>
            </w:pPr>
            <w:r>
              <w:rPr>
                <w:sz w:val="16"/>
                <w:szCs w:val="16"/>
              </w:rPr>
              <w:t>Intergovernmental</w:t>
            </w:r>
          </w:p>
        </w:tc>
        <w:tc>
          <w:tcPr>
            <w:tcW w:w="40" w:type="dxa"/>
            <w:tcBorders/>
            <w:vAlign w:val="bottom"/>
          </w:tcPr>
          <w:p>
            <w:pPr>
              <w:pStyle w:val="Normal"/>
              <w:widowControl w:val="false"/>
              <w:tabs>
                <w:tab w:val="clear" w:pos="709"/>
              </w:tabs>
              <w:jc w:val="right"/>
              <w:rPr>
                <w:sz w:val="16"/>
                <w:szCs w:val="16"/>
              </w:rPr>
            </w:pPr>
            <w:r>
              <w:rPr>
                <w:sz w:val="16"/>
                <w:szCs w:val="16"/>
              </w:rPr>
              <w:t>$78,000</w:t>
            </w:r>
          </w:p>
        </w:tc>
        <w:tc>
          <w:tcPr>
            <w:tcW w:w="40" w:type="dxa"/>
            <w:tcBorders/>
            <w:vAlign w:val="bottom"/>
          </w:tcPr>
          <w:p>
            <w:pPr>
              <w:pStyle w:val="Normal"/>
              <w:widowControl w:val="false"/>
              <w:tabs>
                <w:tab w:val="clear" w:pos="709"/>
              </w:tabs>
              <w:jc w:val="center"/>
              <w:rPr>
                <w:sz w:val="16"/>
                <w:szCs w:val="16"/>
              </w:rPr>
            </w:pPr>
            <w:r>
              <w:rPr>
                <w:sz w:val="16"/>
                <w:szCs w:val="16"/>
              </w:rPr>
            </w:r>
          </w:p>
        </w:tc>
        <w:tc>
          <w:tcPr>
            <w:tcW w:w="2584" w:type="dxa"/>
            <w:tcBorders/>
            <w:vAlign w:val="bottom"/>
          </w:tcPr>
          <w:p>
            <w:pPr>
              <w:pStyle w:val="Normal"/>
              <w:widowControl w:val="false"/>
              <w:tabs>
                <w:tab w:val="clear" w:pos="709"/>
              </w:tabs>
              <w:jc w:val="center"/>
              <w:rPr>
                <w:sz w:val="16"/>
                <w:szCs w:val="16"/>
              </w:rPr>
            </w:pPr>
            <w:r>
              <w:rPr>
                <w:sz w:val="16"/>
                <w:szCs w:val="16"/>
              </w:rPr>
              <w:t>$94,000</w:t>
            </w:r>
          </w:p>
        </w:tc>
      </w:tr>
      <w:tr>
        <w:trPr>
          <w:trHeight w:val="300" w:hRule="atLeast"/>
        </w:trPr>
        <w:tc>
          <w:tcPr>
            <w:tcW w:w="2671" w:type="dxa"/>
            <w:tcBorders/>
            <w:vAlign w:val="bottom"/>
          </w:tcPr>
          <w:p>
            <w:pPr>
              <w:pStyle w:val="Normal"/>
              <w:widowControl w:val="false"/>
              <w:tabs>
                <w:tab w:val="clear" w:pos="709"/>
              </w:tabs>
              <w:jc w:val="left"/>
              <w:rPr>
                <w:sz w:val="16"/>
                <w:szCs w:val="16"/>
              </w:rPr>
            </w:pPr>
            <w:r>
              <w:rPr>
                <w:b/>
                <w:sz w:val="16"/>
                <w:szCs w:val="16"/>
              </w:rPr>
              <w:t>Subtotal</w:t>
            </w:r>
          </w:p>
        </w:tc>
        <w:tc>
          <w:tcPr>
            <w:tcW w:w="40" w:type="dxa"/>
            <w:tcBorders/>
            <w:vAlign w:val="bottom"/>
          </w:tcPr>
          <w:p>
            <w:pPr>
              <w:pStyle w:val="Normal"/>
              <w:widowControl w:val="false"/>
              <w:tabs>
                <w:tab w:val="clear" w:pos="709"/>
              </w:tabs>
              <w:jc w:val="right"/>
              <w:rPr>
                <w:sz w:val="16"/>
                <w:szCs w:val="16"/>
              </w:rPr>
            </w:pPr>
            <w:r>
              <w:rPr>
                <w:b/>
                <w:sz w:val="16"/>
                <w:szCs w:val="16"/>
              </w:rPr>
              <w:t>$2,159,944</w:t>
            </w:r>
          </w:p>
        </w:tc>
        <w:tc>
          <w:tcPr>
            <w:tcW w:w="40" w:type="dxa"/>
            <w:tcBorders/>
            <w:vAlign w:val="bottom"/>
          </w:tcPr>
          <w:p>
            <w:pPr>
              <w:pStyle w:val="Normal"/>
              <w:widowControl w:val="false"/>
              <w:tabs>
                <w:tab w:val="clear" w:pos="709"/>
              </w:tabs>
              <w:jc w:val="center"/>
              <w:rPr>
                <w:sz w:val="16"/>
                <w:szCs w:val="16"/>
              </w:rPr>
            </w:pPr>
            <w:r>
              <w:rPr>
                <w:sz w:val="16"/>
                <w:szCs w:val="16"/>
              </w:rPr>
            </w:r>
          </w:p>
        </w:tc>
        <w:tc>
          <w:tcPr>
            <w:tcW w:w="2584" w:type="dxa"/>
            <w:tcBorders/>
            <w:vAlign w:val="bottom"/>
          </w:tcPr>
          <w:p>
            <w:pPr>
              <w:pStyle w:val="Normal"/>
              <w:widowControl w:val="false"/>
              <w:tabs>
                <w:tab w:val="clear" w:pos="709"/>
              </w:tabs>
              <w:jc w:val="center"/>
              <w:rPr>
                <w:sz w:val="16"/>
                <w:szCs w:val="16"/>
              </w:rPr>
            </w:pPr>
            <w:r>
              <w:rPr>
                <w:b/>
                <w:sz w:val="16"/>
                <w:szCs w:val="16"/>
              </w:rPr>
              <w:t>$2,371,994</w:t>
            </w:r>
          </w:p>
        </w:tc>
      </w:tr>
      <w:tr>
        <w:trPr>
          <w:trHeight w:val="161" w:hRule="atLeast"/>
        </w:trPr>
        <w:tc>
          <w:tcPr>
            <w:tcW w:w="2671" w:type="dxa"/>
            <w:tcBorders/>
            <w:vAlign w:val="bottom"/>
          </w:tcPr>
          <w:p>
            <w:pPr>
              <w:pStyle w:val="Normal"/>
              <w:widowControl w:val="false"/>
              <w:tabs>
                <w:tab w:val="clear" w:pos="709"/>
              </w:tabs>
              <w:jc w:val="left"/>
              <w:rPr>
                <w:b/>
                <w:b/>
                <w:sz w:val="16"/>
                <w:szCs w:val="16"/>
              </w:rPr>
            </w:pPr>
            <w:r>
              <w:rPr>
                <w:b/>
                <w:sz w:val="16"/>
                <w:szCs w:val="16"/>
              </w:rPr>
            </w:r>
          </w:p>
        </w:tc>
        <w:tc>
          <w:tcPr>
            <w:tcW w:w="40" w:type="dxa"/>
            <w:tcBorders/>
            <w:vAlign w:val="bottom"/>
          </w:tcPr>
          <w:p>
            <w:pPr>
              <w:pStyle w:val="Normal"/>
              <w:widowControl w:val="false"/>
              <w:tabs>
                <w:tab w:val="clear" w:pos="709"/>
              </w:tabs>
              <w:jc w:val="left"/>
              <w:rPr>
                <w:sz w:val="16"/>
                <w:szCs w:val="16"/>
              </w:rPr>
            </w:pPr>
            <w:r>
              <w:rPr>
                <w:sz w:val="16"/>
                <w:szCs w:val="16"/>
              </w:rPr>
            </w:r>
          </w:p>
        </w:tc>
        <w:tc>
          <w:tcPr>
            <w:tcW w:w="40" w:type="dxa"/>
            <w:tcBorders/>
            <w:vAlign w:val="bottom"/>
          </w:tcPr>
          <w:p>
            <w:pPr>
              <w:pStyle w:val="Normal"/>
              <w:widowControl w:val="false"/>
              <w:tabs>
                <w:tab w:val="clear" w:pos="709"/>
              </w:tabs>
              <w:jc w:val="center"/>
              <w:rPr>
                <w:sz w:val="16"/>
                <w:szCs w:val="16"/>
              </w:rPr>
            </w:pPr>
            <w:r>
              <w:rPr>
                <w:sz w:val="16"/>
                <w:szCs w:val="16"/>
              </w:rPr>
            </w:r>
          </w:p>
        </w:tc>
        <w:tc>
          <w:tcPr>
            <w:tcW w:w="2584" w:type="dxa"/>
            <w:tcBorders/>
            <w:vAlign w:val="bottom"/>
          </w:tcPr>
          <w:p>
            <w:pPr>
              <w:pStyle w:val="Normal"/>
              <w:widowControl w:val="false"/>
              <w:tabs>
                <w:tab w:val="clear" w:pos="709"/>
              </w:tabs>
              <w:jc w:val="center"/>
              <w:rPr>
                <w:sz w:val="16"/>
                <w:szCs w:val="16"/>
              </w:rPr>
            </w:pPr>
            <w:r>
              <w:rPr>
                <w:sz w:val="16"/>
                <w:szCs w:val="16"/>
              </w:rPr>
            </w:r>
          </w:p>
        </w:tc>
      </w:tr>
      <w:tr>
        <w:trPr>
          <w:trHeight w:val="300" w:hRule="atLeast"/>
        </w:trPr>
        <w:tc>
          <w:tcPr>
            <w:tcW w:w="2671" w:type="dxa"/>
            <w:tcBorders/>
            <w:vAlign w:val="bottom"/>
          </w:tcPr>
          <w:p>
            <w:pPr>
              <w:pStyle w:val="Normal"/>
              <w:widowControl w:val="false"/>
              <w:tabs>
                <w:tab w:val="clear" w:pos="709"/>
              </w:tabs>
              <w:jc w:val="left"/>
              <w:rPr>
                <w:sz w:val="16"/>
                <w:szCs w:val="16"/>
              </w:rPr>
            </w:pPr>
            <w:r>
              <w:rPr>
                <w:b/>
                <w:i/>
                <w:sz w:val="16"/>
                <w:szCs w:val="16"/>
              </w:rPr>
              <w:t>Dedicated Funds</w:t>
            </w:r>
          </w:p>
        </w:tc>
        <w:tc>
          <w:tcPr>
            <w:tcW w:w="40" w:type="dxa"/>
            <w:tcBorders/>
            <w:vAlign w:val="bottom"/>
          </w:tcPr>
          <w:p>
            <w:pPr>
              <w:pStyle w:val="Normal"/>
              <w:widowControl w:val="false"/>
              <w:tabs>
                <w:tab w:val="clear" w:pos="709"/>
              </w:tabs>
              <w:jc w:val="center"/>
              <w:rPr>
                <w:sz w:val="16"/>
                <w:szCs w:val="16"/>
              </w:rPr>
            </w:pPr>
            <w:r>
              <w:rPr>
                <w:i/>
                <w:sz w:val="16"/>
                <w:szCs w:val="16"/>
              </w:rPr>
              <w:t>2022</w:t>
            </w:r>
          </w:p>
        </w:tc>
        <w:tc>
          <w:tcPr>
            <w:tcW w:w="40" w:type="dxa"/>
            <w:tcBorders/>
            <w:vAlign w:val="bottom"/>
          </w:tcPr>
          <w:p>
            <w:pPr>
              <w:pStyle w:val="Normal"/>
              <w:widowControl w:val="false"/>
              <w:tabs>
                <w:tab w:val="clear" w:pos="709"/>
              </w:tabs>
              <w:jc w:val="center"/>
              <w:rPr>
                <w:sz w:val="16"/>
                <w:szCs w:val="16"/>
              </w:rPr>
            </w:pPr>
            <w:r>
              <w:rPr>
                <w:sz w:val="16"/>
                <w:szCs w:val="16"/>
              </w:rPr>
            </w:r>
          </w:p>
        </w:tc>
        <w:tc>
          <w:tcPr>
            <w:tcW w:w="2584" w:type="dxa"/>
            <w:tcBorders/>
            <w:vAlign w:val="bottom"/>
          </w:tcPr>
          <w:p>
            <w:pPr>
              <w:pStyle w:val="Normal"/>
              <w:widowControl w:val="false"/>
              <w:tabs>
                <w:tab w:val="clear" w:pos="709"/>
              </w:tabs>
              <w:jc w:val="center"/>
              <w:rPr>
                <w:sz w:val="16"/>
                <w:szCs w:val="16"/>
              </w:rPr>
            </w:pPr>
            <w:r>
              <w:rPr>
                <w:sz w:val="16"/>
                <w:szCs w:val="16"/>
              </w:rPr>
            </w:r>
          </w:p>
        </w:tc>
      </w:tr>
      <w:tr>
        <w:trPr>
          <w:trHeight w:val="300" w:hRule="atLeast"/>
        </w:trPr>
        <w:tc>
          <w:tcPr>
            <w:tcW w:w="2671" w:type="dxa"/>
            <w:tcBorders/>
            <w:vAlign w:val="bottom"/>
          </w:tcPr>
          <w:p>
            <w:pPr>
              <w:pStyle w:val="Normal"/>
              <w:widowControl w:val="false"/>
              <w:tabs>
                <w:tab w:val="clear" w:pos="709"/>
              </w:tabs>
              <w:jc w:val="left"/>
              <w:rPr>
                <w:sz w:val="16"/>
                <w:szCs w:val="16"/>
              </w:rPr>
            </w:pPr>
            <w:r>
              <w:rPr>
                <w:sz w:val="16"/>
                <w:szCs w:val="16"/>
              </w:rPr>
              <w:t>Grant Match</w:t>
            </w:r>
          </w:p>
        </w:tc>
        <w:tc>
          <w:tcPr>
            <w:tcW w:w="40" w:type="dxa"/>
            <w:tcBorders/>
            <w:vAlign w:val="bottom"/>
          </w:tcPr>
          <w:p>
            <w:pPr>
              <w:pStyle w:val="Normal"/>
              <w:widowControl w:val="false"/>
              <w:tabs>
                <w:tab w:val="clear" w:pos="709"/>
              </w:tabs>
              <w:jc w:val="right"/>
              <w:rPr>
                <w:sz w:val="16"/>
                <w:szCs w:val="16"/>
              </w:rPr>
            </w:pPr>
            <w:r>
              <w:rPr>
                <w:sz w:val="16"/>
                <w:szCs w:val="16"/>
              </w:rPr>
              <w:t>$10,000</w:t>
            </w:r>
          </w:p>
        </w:tc>
        <w:tc>
          <w:tcPr>
            <w:tcW w:w="40" w:type="dxa"/>
            <w:tcBorders/>
            <w:vAlign w:val="bottom"/>
          </w:tcPr>
          <w:p>
            <w:pPr>
              <w:pStyle w:val="Normal"/>
              <w:widowControl w:val="false"/>
              <w:tabs>
                <w:tab w:val="clear" w:pos="709"/>
              </w:tabs>
              <w:jc w:val="center"/>
              <w:rPr>
                <w:sz w:val="16"/>
                <w:szCs w:val="16"/>
              </w:rPr>
            </w:pPr>
            <w:r>
              <w:rPr>
                <w:sz w:val="16"/>
                <w:szCs w:val="16"/>
              </w:rPr>
            </w:r>
          </w:p>
        </w:tc>
        <w:tc>
          <w:tcPr>
            <w:tcW w:w="2584" w:type="dxa"/>
            <w:tcBorders/>
            <w:vAlign w:val="bottom"/>
          </w:tcPr>
          <w:p>
            <w:pPr>
              <w:pStyle w:val="Normal"/>
              <w:widowControl w:val="false"/>
              <w:tabs>
                <w:tab w:val="clear" w:pos="709"/>
              </w:tabs>
              <w:jc w:val="center"/>
              <w:rPr>
                <w:sz w:val="16"/>
                <w:szCs w:val="16"/>
              </w:rPr>
            </w:pPr>
            <w:r>
              <w:rPr>
                <w:sz w:val="16"/>
                <w:szCs w:val="16"/>
              </w:rPr>
              <w:t>$10,000</w:t>
            </w:r>
          </w:p>
        </w:tc>
      </w:tr>
      <w:tr>
        <w:trPr>
          <w:trHeight w:val="300" w:hRule="atLeast"/>
        </w:trPr>
        <w:tc>
          <w:tcPr>
            <w:tcW w:w="2671" w:type="dxa"/>
            <w:tcBorders/>
            <w:vAlign w:val="center"/>
          </w:tcPr>
          <w:p>
            <w:pPr>
              <w:pStyle w:val="Normal"/>
              <w:widowControl w:val="false"/>
              <w:tabs>
                <w:tab w:val="clear" w:pos="709"/>
              </w:tabs>
              <w:jc w:val="left"/>
              <w:rPr>
                <w:sz w:val="16"/>
                <w:szCs w:val="16"/>
              </w:rPr>
            </w:pPr>
            <w:r>
              <w:rPr>
                <w:sz w:val="16"/>
                <w:szCs w:val="16"/>
              </w:rPr>
              <w:t>Bldg / Asset Repair/Replace</w:t>
            </w:r>
          </w:p>
        </w:tc>
        <w:tc>
          <w:tcPr>
            <w:tcW w:w="40" w:type="dxa"/>
            <w:tcBorders/>
            <w:vAlign w:val="bottom"/>
          </w:tcPr>
          <w:p>
            <w:pPr>
              <w:pStyle w:val="Normal"/>
              <w:widowControl w:val="false"/>
              <w:tabs>
                <w:tab w:val="clear" w:pos="709"/>
              </w:tabs>
              <w:jc w:val="right"/>
              <w:rPr>
                <w:sz w:val="16"/>
                <w:szCs w:val="16"/>
              </w:rPr>
            </w:pPr>
            <w:r>
              <w:rPr>
                <w:sz w:val="16"/>
                <w:szCs w:val="16"/>
              </w:rPr>
              <w:t>$2,489,773</w:t>
            </w:r>
          </w:p>
        </w:tc>
        <w:tc>
          <w:tcPr>
            <w:tcW w:w="40" w:type="dxa"/>
            <w:tcBorders/>
            <w:vAlign w:val="bottom"/>
          </w:tcPr>
          <w:p>
            <w:pPr>
              <w:pStyle w:val="Normal"/>
              <w:widowControl w:val="false"/>
              <w:tabs>
                <w:tab w:val="clear" w:pos="709"/>
              </w:tabs>
              <w:jc w:val="center"/>
              <w:rPr>
                <w:sz w:val="16"/>
                <w:szCs w:val="16"/>
              </w:rPr>
            </w:pPr>
            <w:r>
              <w:rPr>
                <w:sz w:val="16"/>
                <w:szCs w:val="16"/>
              </w:rPr>
            </w:r>
          </w:p>
        </w:tc>
        <w:tc>
          <w:tcPr>
            <w:tcW w:w="2584" w:type="dxa"/>
            <w:tcBorders/>
            <w:vAlign w:val="bottom"/>
          </w:tcPr>
          <w:p>
            <w:pPr>
              <w:pStyle w:val="Normal"/>
              <w:widowControl w:val="false"/>
              <w:tabs>
                <w:tab w:val="clear" w:pos="709"/>
              </w:tabs>
              <w:jc w:val="center"/>
              <w:rPr>
                <w:sz w:val="16"/>
                <w:szCs w:val="16"/>
              </w:rPr>
            </w:pPr>
            <w:r>
              <w:rPr>
                <w:sz w:val="16"/>
                <w:szCs w:val="16"/>
              </w:rPr>
              <w:t>$2,621,598</w:t>
            </w:r>
          </w:p>
        </w:tc>
      </w:tr>
      <w:tr>
        <w:trPr>
          <w:trHeight w:val="300" w:hRule="atLeast"/>
        </w:trPr>
        <w:tc>
          <w:tcPr>
            <w:tcW w:w="2671" w:type="dxa"/>
            <w:tcBorders/>
            <w:vAlign w:val="center"/>
          </w:tcPr>
          <w:p>
            <w:pPr>
              <w:pStyle w:val="Normal"/>
              <w:widowControl w:val="false"/>
              <w:tabs>
                <w:tab w:val="clear" w:pos="709"/>
              </w:tabs>
              <w:jc w:val="left"/>
              <w:rPr>
                <w:sz w:val="16"/>
                <w:szCs w:val="16"/>
              </w:rPr>
            </w:pPr>
            <w:r>
              <w:rPr>
                <w:sz w:val="16"/>
                <w:szCs w:val="16"/>
              </w:rPr>
              <w:t>East Beau CapEx</w:t>
            </w:r>
          </w:p>
        </w:tc>
        <w:tc>
          <w:tcPr>
            <w:tcW w:w="40" w:type="dxa"/>
            <w:tcBorders/>
            <w:vAlign w:val="bottom"/>
          </w:tcPr>
          <w:p>
            <w:pPr>
              <w:pStyle w:val="Normal"/>
              <w:widowControl w:val="false"/>
              <w:tabs>
                <w:tab w:val="clear" w:pos="709"/>
              </w:tabs>
              <w:jc w:val="right"/>
              <w:rPr>
                <w:sz w:val="16"/>
                <w:szCs w:val="16"/>
              </w:rPr>
            </w:pPr>
            <w:r>
              <w:rPr>
                <w:sz w:val="16"/>
                <w:szCs w:val="16"/>
              </w:rPr>
              <w:t>$465,000</w:t>
            </w:r>
          </w:p>
        </w:tc>
        <w:tc>
          <w:tcPr>
            <w:tcW w:w="40" w:type="dxa"/>
            <w:tcBorders/>
            <w:vAlign w:val="bottom"/>
          </w:tcPr>
          <w:p>
            <w:pPr>
              <w:pStyle w:val="Normal"/>
              <w:widowControl w:val="false"/>
              <w:tabs>
                <w:tab w:val="clear" w:pos="709"/>
              </w:tabs>
              <w:jc w:val="center"/>
              <w:rPr>
                <w:sz w:val="16"/>
                <w:szCs w:val="16"/>
              </w:rPr>
            </w:pPr>
            <w:r>
              <w:rPr>
                <w:sz w:val="16"/>
                <w:szCs w:val="16"/>
              </w:rPr>
            </w:r>
          </w:p>
        </w:tc>
        <w:tc>
          <w:tcPr>
            <w:tcW w:w="2584" w:type="dxa"/>
            <w:tcBorders/>
            <w:vAlign w:val="bottom"/>
          </w:tcPr>
          <w:p>
            <w:pPr>
              <w:pStyle w:val="Normal"/>
              <w:widowControl w:val="false"/>
              <w:tabs>
                <w:tab w:val="clear" w:pos="709"/>
              </w:tabs>
              <w:jc w:val="center"/>
              <w:rPr>
                <w:sz w:val="16"/>
                <w:szCs w:val="16"/>
              </w:rPr>
            </w:pPr>
            <w:r>
              <w:rPr>
                <w:sz w:val="16"/>
                <w:szCs w:val="16"/>
              </w:rPr>
              <w:t>$505,091</w:t>
            </w:r>
          </w:p>
        </w:tc>
      </w:tr>
      <w:tr>
        <w:trPr>
          <w:trHeight w:val="300" w:hRule="atLeast"/>
        </w:trPr>
        <w:tc>
          <w:tcPr>
            <w:tcW w:w="2671" w:type="dxa"/>
            <w:tcBorders/>
            <w:vAlign w:val="center"/>
          </w:tcPr>
          <w:p>
            <w:pPr>
              <w:pStyle w:val="Normal"/>
              <w:widowControl w:val="false"/>
              <w:tabs>
                <w:tab w:val="clear" w:pos="709"/>
              </w:tabs>
              <w:jc w:val="left"/>
              <w:rPr>
                <w:sz w:val="16"/>
                <w:szCs w:val="16"/>
              </w:rPr>
            </w:pPr>
            <w:r>
              <w:rPr>
                <w:sz w:val="16"/>
                <w:szCs w:val="16"/>
              </w:rPr>
              <w:t>South Beau CapEx</w:t>
            </w:r>
          </w:p>
        </w:tc>
        <w:tc>
          <w:tcPr>
            <w:tcW w:w="40" w:type="dxa"/>
            <w:tcBorders/>
            <w:vAlign w:val="bottom"/>
          </w:tcPr>
          <w:p>
            <w:pPr>
              <w:pStyle w:val="Normal"/>
              <w:widowControl w:val="false"/>
              <w:tabs>
                <w:tab w:val="clear" w:pos="709"/>
              </w:tabs>
              <w:jc w:val="right"/>
              <w:rPr>
                <w:sz w:val="16"/>
                <w:szCs w:val="16"/>
              </w:rPr>
            </w:pPr>
            <w:r>
              <w:rPr>
                <w:sz w:val="16"/>
                <w:szCs w:val="16"/>
              </w:rPr>
              <w:t>$603,500</w:t>
            </w:r>
          </w:p>
        </w:tc>
        <w:tc>
          <w:tcPr>
            <w:tcW w:w="40" w:type="dxa"/>
            <w:tcBorders/>
            <w:vAlign w:val="bottom"/>
          </w:tcPr>
          <w:p>
            <w:pPr>
              <w:pStyle w:val="Normal"/>
              <w:widowControl w:val="false"/>
              <w:tabs>
                <w:tab w:val="clear" w:pos="709"/>
              </w:tabs>
              <w:jc w:val="center"/>
              <w:rPr>
                <w:sz w:val="16"/>
                <w:szCs w:val="16"/>
              </w:rPr>
            </w:pPr>
            <w:r>
              <w:rPr>
                <w:sz w:val="16"/>
                <w:szCs w:val="16"/>
              </w:rPr>
            </w:r>
          </w:p>
        </w:tc>
        <w:tc>
          <w:tcPr>
            <w:tcW w:w="2584" w:type="dxa"/>
            <w:tcBorders/>
            <w:vAlign w:val="bottom"/>
          </w:tcPr>
          <w:p>
            <w:pPr>
              <w:pStyle w:val="Normal"/>
              <w:widowControl w:val="false"/>
              <w:tabs>
                <w:tab w:val="clear" w:pos="709"/>
              </w:tabs>
              <w:jc w:val="center"/>
              <w:rPr>
                <w:sz w:val="16"/>
                <w:szCs w:val="16"/>
              </w:rPr>
            </w:pPr>
            <w:r>
              <w:rPr>
                <w:sz w:val="16"/>
                <w:szCs w:val="16"/>
              </w:rPr>
              <w:t>$603,500</w:t>
            </w:r>
          </w:p>
        </w:tc>
      </w:tr>
      <w:tr>
        <w:trPr>
          <w:trHeight w:val="300" w:hRule="atLeast"/>
        </w:trPr>
        <w:tc>
          <w:tcPr>
            <w:tcW w:w="2671" w:type="dxa"/>
            <w:tcBorders/>
            <w:vAlign w:val="center"/>
          </w:tcPr>
          <w:p>
            <w:pPr>
              <w:pStyle w:val="Normal"/>
              <w:widowControl w:val="false"/>
              <w:tabs>
                <w:tab w:val="clear" w:pos="709"/>
              </w:tabs>
              <w:jc w:val="left"/>
              <w:rPr>
                <w:sz w:val="16"/>
                <w:szCs w:val="16"/>
              </w:rPr>
            </w:pPr>
            <w:r>
              <w:rPr>
                <w:sz w:val="16"/>
                <w:szCs w:val="16"/>
              </w:rPr>
              <w:t>Hilman Fund</w:t>
            </w:r>
          </w:p>
        </w:tc>
        <w:tc>
          <w:tcPr>
            <w:tcW w:w="40" w:type="dxa"/>
            <w:tcBorders/>
            <w:vAlign w:val="bottom"/>
          </w:tcPr>
          <w:p>
            <w:pPr>
              <w:pStyle w:val="Normal"/>
              <w:widowControl w:val="false"/>
              <w:tabs>
                <w:tab w:val="clear" w:pos="709"/>
              </w:tabs>
              <w:jc w:val="right"/>
              <w:rPr>
                <w:sz w:val="16"/>
                <w:szCs w:val="16"/>
              </w:rPr>
            </w:pPr>
            <w:r>
              <w:rPr>
                <w:sz w:val="16"/>
                <w:szCs w:val="16"/>
              </w:rPr>
              <w:t>$55</w:t>
            </w:r>
          </w:p>
        </w:tc>
        <w:tc>
          <w:tcPr>
            <w:tcW w:w="40" w:type="dxa"/>
            <w:tcBorders/>
            <w:vAlign w:val="bottom"/>
          </w:tcPr>
          <w:p>
            <w:pPr>
              <w:pStyle w:val="Normal"/>
              <w:widowControl w:val="false"/>
              <w:tabs>
                <w:tab w:val="clear" w:pos="709"/>
              </w:tabs>
              <w:jc w:val="center"/>
              <w:rPr>
                <w:sz w:val="16"/>
                <w:szCs w:val="16"/>
              </w:rPr>
            </w:pPr>
            <w:r>
              <w:rPr>
                <w:sz w:val="16"/>
                <w:szCs w:val="16"/>
              </w:rPr>
            </w:r>
          </w:p>
        </w:tc>
        <w:tc>
          <w:tcPr>
            <w:tcW w:w="2584" w:type="dxa"/>
            <w:tcBorders/>
            <w:vAlign w:val="bottom"/>
          </w:tcPr>
          <w:p>
            <w:pPr>
              <w:pStyle w:val="Normal"/>
              <w:widowControl w:val="false"/>
              <w:tabs>
                <w:tab w:val="clear" w:pos="709"/>
              </w:tabs>
              <w:jc w:val="center"/>
              <w:rPr>
                <w:sz w:val="16"/>
                <w:szCs w:val="16"/>
              </w:rPr>
            </w:pPr>
            <w:r>
              <w:rPr>
                <w:sz w:val="16"/>
                <w:szCs w:val="16"/>
              </w:rPr>
              <w:t>$55</w:t>
            </w:r>
          </w:p>
        </w:tc>
      </w:tr>
      <w:tr>
        <w:trPr>
          <w:trHeight w:val="300" w:hRule="atLeast"/>
        </w:trPr>
        <w:tc>
          <w:tcPr>
            <w:tcW w:w="2671" w:type="dxa"/>
            <w:tcBorders/>
            <w:vAlign w:val="bottom"/>
          </w:tcPr>
          <w:p>
            <w:pPr>
              <w:pStyle w:val="Normal"/>
              <w:widowControl w:val="false"/>
              <w:tabs>
                <w:tab w:val="clear" w:pos="709"/>
              </w:tabs>
              <w:jc w:val="left"/>
              <w:rPr>
                <w:sz w:val="16"/>
                <w:szCs w:val="16"/>
              </w:rPr>
            </w:pPr>
            <w:r>
              <w:rPr>
                <w:sz w:val="16"/>
                <w:szCs w:val="16"/>
              </w:rPr>
              <w:t>McElveen Bequest</w:t>
            </w:r>
          </w:p>
        </w:tc>
        <w:tc>
          <w:tcPr>
            <w:tcW w:w="40" w:type="dxa"/>
            <w:tcBorders/>
            <w:vAlign w:val="bottom"/>
          </w:tcPr>
          <w:p>
            <w:pPr>
              <w:pStyle w:val="Normal"/>
              <w:widowControl w:val="false"/>
              <w:tabs>
                <w:tab w:val="clear" w:pos="709"/>
              </w:tabs>
              <w:jc w:val="right"/>
              <w:rPr>
                <w:sz w:val="16"/>
                <w:szCs w:val="16"/>
              </w:rPr>
            </w:pPr>
            <w:r>
              <w:rPr>
                <w:sz w:val="16"/>
                <w:szCs w:val="16"/>
              </w:rPr>
              <w:t>$249,959</w:t>
            </w:r>
          </w:p>
        </w:tc>
        <w:tc>
          <w:tcPr>
            <w:tcW w:w="40" w:type="dxa"/>
            <w:tcBorders/>
            <w:vAlign w:val="bottom"/>
          </w:tcPr>
          <w:p>
            <w:pPr>
              <w:pStyle w:val="Normal"/>
              <w:widowControl w:val="false"/>
              <w:tabs>
                <w:tab w:val="clear" w:pos="709"/>
              </w:tabs>
              <w:jc w:val="center"/>
              <w:rPr>
                <w:sz w:val="16"/>
                <w:szCs w:val="16"/>
              </w:rPr>
            </w:pPr>
            <w:r>
              <w:rPr>
                <w:sz w:val="16"/>
                <w:szCs w:val="16"/>
              </w:rPr>
            </w:r>
          </w:p>
        </w:tc>
        <w:tc>
          <w:tcPr>
            <w:tcW w:w="2584" w:type="dxa"/>
            <w:tcBorders/>
            <w:vAlign w:val="bottom"/>
          </w:tcPr>
          <w:p>
            <w:pPr>
              <w:pStyle w:val="Normal"/>
              <w:widowControl w:val="false"/>
              <w:tabs>
                <w:tab w:val="clear" w:pos="709"/>
              </w:tabs>
              <w:jc w:val="center"/>
              <w:rPr>
                <w:sz w:val="16"/>
                <w:szCs w:val="16"/>
              </w:rPr>
            </w:pPr>
            <w:r>
              <w:rPr>
                <w:sz w:val="16"/>
                <w:szCs w:val="16"/>
              </w:rPr>
              <w:t>$249,959</w:t>
            </w:r>
          </w:p>
        </w:tc>
      </w:tr>
      <w:tr>
        <w:trPr>
          <w:trHeight w:val="300" w:hRule="atLeast"/>
        </w:trPr>
        <w:tc>
          <w:tcPr>
            <w:tcW w:w="2671" w:type="dxa"/>
            <w:tcBorders/>
            <w:vAlign w:val="bottom"/>
          </w:tcPr>
          <w:p>
            <w:pPr>
              <w:pStyle w:val="Normal"/>
              <w:widowControl w:val="false"/>
              <w:tabs>
                <w:tab w:val="clear" w:pos="709"/>
              </w:tabs>
              <w:jc w:val="left"/>
              <w:rPr>
                <w:sz w:val="16"/>
                <w:szCs w:val="16"/>
              </w:rPr>
            </w:pPr>
            <w:r>
              <w:rPr>
                <w:sz w:val="16"/>
                <w:szCs w:val="16"/>
              </w:rPr>
              <w:t>75th Anniversary</w:t>
            </w:r>
          </w:p>
        </w:tc>
        <w:tc>
          <w:tcPr>
            <w:tcW w:w="40" w:type="dxa"/>
            <w:tcBorders/>
            <w:vAlign w:val="bottom"/>
          </w:tcPr>
          <w:p>
            <w:pPr>
              <w:pStyle w:val="Normal"/>
              <w:widowControl w:val="false"/>
              <w:tabs>
                <w:tab w:val="clear" w:pos="709"/>
              </w:tabs>
              <w:jc w:val="right"/>
              <w:rPr>
                <w:sz w:val="16"/>
                <w:szCs w:val="16"/>
              </w:rPr>
            </w:pPr>
            <w:r>
              <w:rPr>
                <w:sz w:val="16"/>
                <w:szCs w:val="16"/>
              </w:rPr>
              <w:t>$6,000</w:t>
            </w:r>
          </w:p>
        </w:tc>
        <w:tc>
          <w:tcPr>
            <w:tcW w:w="40" w:type="dxa"/>
            <w:tcBorders/>
            <w:vAlign w:val="bottom"/>
          </w:tcPr>
          <w:p>
            <w:pPr>
              <w:pStyle w:val="Normal"/>
              <w:widowControl w:val="false"/>
              <w:tabs>
                <w:tab w:val="clear" w:pos="709"/>
              </w:tabs>
              <w:jc w:val="center"/>
              <w:rPr>
                <w:sz w:val="16"/>
                <w:szCs w:val="16"/>
              </w:rPr>
            </w:pPr>
            <w:r>
              <w:rPr>
                <w:sz w:val="16"/>
                <w:szCs w:val="16"/>
              </w:rPr>
            </w:r>
          </w:p>
        </w:tc>
        <w:tc>
          <w:tcPr>
            <w:tcW w:w="2584" w:type="dxa"/>
            <w:tcBorders/>
            <w:vAlign w:val="bottom"/>
          </w:tcPr>
          <w:p>
            <w:pPr>
              <w:pStyle w:val="Normal"/>
              <w:widowControl w:val="false"/>
              <w:tabs>
                <w:tab w:val="clear" w:pos="709"/>
              </w:tabs>
              <w:jc w:val="center"/>
              <w:rPr>
                <w:sz w:val="16"/>
                <w:szCs w:val="16"/>
              </w:rPr>
            </w:pPr>
            <w:r>
              <w:rPr>
                <w:sz w:val="16"/>
                <w:szCs w:val="16"/>
              </w:rPr>
              <w:t>$0</w:t>
            </w:r>
          </w:p>
        </w:tc>
      </w:tr>
      <w:tr>
        <w:trPr>
          <w:trHeight w:val="300" w:hRule="atLeast"/>
        </w:trPr>
        <w:tc>
          <w:tcPr>
            <w:tcW w:w="2671" w:type="dxa"/>
            <w:tcBorders/>
            <w:vAlign w:val="bottom"/>
          </w:tcPr>
          <w:p>
            <w:pPr>
              <w:pStyle w:val="Normal"/>
              <w:widowControl w:val="false"/>
              <w:tabs>
                <w:tab w:val="clear" w:pos="709"/>
              </w:tabs>
              <w:jc w:val="left"/>
              <w:rPr>
                <w:sz w:val="16"/>
                <w:szCs w:val="16"/>
              </w:rPr>
            </w:pPr>
            <w:r>
              <w:rPr>
                <w:sz w:val="16"/>
                <w:szCs w:val="16"/>
              </w:rPr>
              <w:t>Rotary Grant</w:t>
            </w:r>
          </w:p>
        </w:tc>
        <w:tc>
          <w:tcPr>
            <w:tcW w:w="40" w:type="dxa"/>
            <w:tcBorders/>
            <w:vAlign w:val="bottom"/>
          </w:tcPr>
          <w:p>
            <w:pPr>
              <w:pStyle w:val="Normal"/>
              <w:widowControl w:val="false"/>
              <w:tabs>
                <w:tab w:val="clear" w:pos="709"/>
              </w:tabs>
              <w:jc w:val="left"/>
              <w:rPr>
                <w:sz w:val="16"/>
                <w:szCs w:val="16"/>
              </w:rPr>
            </w:pPr>
            <w:r>
              <w:rPr>
                <w:sz w:val="16"/>
                <w:szCs w:val="16"/>
              </w:rPr>
            </w:r>
          </w:p>
        </w:tc>
        <w:tc>
          <w:tcPr>
            <w:tcW w:w="40" w:type="dxa"/>
            <w:tcBorders/>
            <w:vAlign w:val="bottom"/>
          </w:tcPr>
          <w:p>
            <w:pPr>
              <w:pStyle w:val="Normal"/>
              <w:widowControl w:val="false"/>
              <w:tabs>
                <w:tab w:val="clear" w:pos="709"/>
              </w:tabs>
              <w:jc w:val="center"/>
              <w:rPr>
                <w:sz w:val="16"/>
                <w:szCs w:val="16"/>
              </w:rPr>
            </w:pPr>
            <w:r>
              <w:rPr>
                <w:sz w:val="16"/>
                <w:szCs w:val="16"/>
              </w:rPr>
            </w:r>
          </w:p>
        </w:tc>
        <w:tc>
          <w:tcPr>
            <w:tcW w:w="2584" w:type="dxa"/>
            <w:tcBorders/>
            <w:vAlign w:val="bottom"/>
          </w:tcPr>
          <w:p>
            <w:pPr>
              <w:pStyle w:val="Normal"/>
              <w:widowControl w:val="false"/>
              <w:tabs>
                <w:tab w:val="clear" w:pos="709"/>
              </w:tabs>
              <w:jc w:val="center"/>
              <w:rPr>
                <w:sz w:val="16"/>
                <w:szCs w:val="16"/>
              </w:rPr>
            </w:pPr>
            <w:r>
              <w:rPr>
                <w:sz w:val="16"/>
                <w:szCs w:val="16"/>
              </w:rPr>
              <w:t>$1,574</w:t>
            </w:r>
          </w:p>
        </w:tc>
      </w:tr>
      <w:tr>
        <w:trPr>
          <w:trHeight w:val="300" w:hRule="atLeast"/>
        </w:trPr>
        <w:tc>
          <w:tcPr>
            <w:tcW w:w="2671" w:type="dxa"/>
            <w:tcBorders/>
            <w:vAlign w:val="bottom"/>
          </w:tcPr>
          <w:p>
            <w:pPr>
              <w:pStyle w:val="Normal"/>
              <w:widowControl w:val="false"/>
              <w:tabs>
                <w:tab w:val="clear" w:pos="709"/>
              </w:tabs>
              <w:jc w:val="left"/>
              <w:rPr>
                <w:sz w:val="16"/>
                <w:szCs w:val="16"/>
              </w:rPr>
            </w:pPr>
            <w:r>
              <w:rPr>
                <w:b/>
                <w:sz w:val="16"/>
                <w:szCs w:val="16"/>
              </w:rPr>
              <w:t>Dedicated Subtotal</w:t>
            </w:r>
          </w:p>
        </w:tc>
        <w:tc>
          <w:tcPr>
            <w:tcW w:w="40" w:type="dxa"/>
            <w:tcBorders/>
            <w:vAlign w:val="bottom"/>
          </w:tcPr>
          <w:p>
            <w:pPr>
              <w:pStyle w:val="Normal"/>
              <w:widowControl w:val="false"/>
              <w:tabs>
                <w:tab w:val="clear" w:pos="709"/>
              </w:tabs>
              <w:jc w:val="right"/>
              <w:rPr>
                <w:sz w:val="16"/>
                <w:szCs w:val="16"/>
              </w:rPr>
            </w:pPr>
            <w:r>
              <w:rPr>
                <w:b/>
                <w:sz w:val="16"/>
                <w:szCs w:val="16"/>
              </w:rPr>
              <w:t>$4,101,620</w:t>
            </w:r>
          </w:p>
        </w:tc>
        <w:tc>
          <w:tcPr>
            <w:tcW w:w="40" w:type="dxa"/>
            <w:tcBorders/>
            <w:vAlign w:val="bottom"/>
          </w:tcPr>
          <w:p>
            <w:pPr>
              <w:pStyle w:val="Normal"/>
              <w:widowControl w:val="false"/>
              <w:tabs>
                <w:tab w:val="clear" w:pos="709"/>
              </w:tabs>
              <w:jc w:val="center"/>
              <w:rPr>
                <w:sz w:val="16"/>
                <w:szCs w:val="16"/>
              </w:rPr>
            </w:pPr>
            <w:r>
              <w:rPr>
                <w:sz w:val="16"/>
                <w:szCs w:val="16"/>
              </w:rPr>
            </w:r>
          </w:p>
        </w:tc>
        <w:tc>
          <w:tcPr>
            <w:tcW w:w="2584" w:type="dxa"/>
            <w:tcBorders/>
            <w:vAlign w:val="bottom"/>
          </w:tcPr>
          <w:p>
            <w:pPr>
              <w:pStyle w:val="Normal"/>
              <w:widowControl w:val="false"/>
              <w:tabs>
                <w:tab w:val="clear" w:pos="709"/>
              </w:tabs>
              <w:jc w:val="center"/>
              <w:rPr>
                <w:sz w:val="16"/>
                <w:szCs w:val="16"/>
              </w:rPr>
            </w:pPr>
            <w:r>
              <w:rPr>
                <w:b/>
                <w:sz w:val="16"/>
                <w:szCs w:val="16"/>
              </w:rPr>
              <w:t>$3,991,777</w:t>
            </w:r>
          </w:p>
        </w:tc>
      </w:tr>
      <w:tr>
        <w:trPr>
          <w:trHeight w:val="300" w:hRule="atLeast"/>
        </w:trPr>
        <w:tc>
          <w:tcPr>
            <w:tcW w:w="2671" w:type="dxa"/>
            <w:tcBorders/>
            <w:vAlign w:val="bottom"/>
          </w:tcPr>
          <w:p>
            <w:pPr>
              <w:pStyle w:val="Normal"/>
              <w:widowControl w:val="false"/>
              <w:tabs>
                <w:tab w:val="clear" w:pos="709"/>
              </w:tabs>
              <w:jc w:val="left"/>
              <w:rPr>
                <w:sz w:val="16"/>
                <w:szCs w:val="16"/>
              </w:rPr>
            </w:pPr>
            <w:r>
              <w:rPr>
                <w:b/>
                <w:sz w:val="16"/>
                <w:szCs w:val="16"/>
              </w:rPr>
              <w:t>Total Expenditures</w:t>
            </w:r>
          </w:p>
        </w:tc>
        <w:tc>
          <w:tcPr>
            <w:tcW w:w="40" w:type="dxa"/>
            <w:tcBorders/>
            <w:vAlign w:val="bottom"/>
          </w:tcPr>
          <w:p>
            <w:pPr>
              <w:pStyle w:val="Normal"/>
              <w:widowControl w:val="false"/>
              <w:tabs>
                <w:tab w:val="clear" w:pos="709"/>
              </w:tabs>
              <w:jc w:val="right"/>
              <w:rPr>
                <w:sz w:val="16"/>
                <w:szCs w:val="16"/>
              </w:rPr>
            </w:pPr>
            <w:r>
              <w:rPr>
                <w:b/>
                <w:sz w:val="16"/>
                <w:szCs w:val="16"/>
              </w:rPr>
              <w:t>$6,261,564</w:t>
            </w:r>
          </w:p>
        </w:tc>
        <w:tc>
          <w:tcPr>
            <w:tcW w:w="40" w:type="dxa"/>
            <w:tcBorders/>
            <w:vAlign w:val="bottom"/>
          </w:tcPr>
          <w:p>
            <w:pPr>
              <w:pStyle w:val="Normal"/>
              <w:widowControl w:val="false"/>
              <w:tabs>
                <w:tab w:val="clear" w:pos="709"/>
              </w:tabs>
              <w:jc w:val="center"/>
              <w:rPr>
                <w:sz w:val="16"/>
                <w:szCs w:val="16"/>
              </w:rPr>
            </w:pPr>
            <w:r>
              <w:rPr>
                <w:sz w:val="16"/>
                <w:szCs w:val="16"/>
              </w:rPr>
            </w:r>
          </w:p>
        </w:tc>
        <w:tc>
          <w:tcPr>
            <w:tcW w:w="2584" w:type="dxa"/>
            <w:tcBorders/>
            <w:vAlign w:val="bottom"/>
          </w:tcPr>
          <w:p>
            <w:pPr>
              <w:pStyle w:val="Normal"/>
              <w:widowControl w:val="false"/>
              <w:tabs>
                <w:tab w:val="clear" w:pos="709"/>
              </w:tabs>
              <w:jc w:val="center"/>
              <w:rPr>
                <w:sz w:val="16"/>
                <w:szCs w:val="16"/>
              </w:rPr>
            </w:pPr>
            <w:r>
              <w:rPr>
                <w:b/>
                <w:sz w:val="16"/>
                <w:szCs w:val="16"/>
              </w:rPr>
              <w:t>$6,363,771</w:t>
            </w:r>
          </w:p>
        </w:tc>
      </w:tr>
      <w:tr>
        <w:trPr>
          <w:trHeight w:val="150" w:hRule="atLeast"/>
        </w:trPr>
        <w:tc>
          <w:tcPr>
            <w:tcW w:w="2671" w:type="dxa"/>
            <w:tcBorders/>
            <w:vAlign w:val="bottom"/>
          </w:tcPr>
          <w:p>
            <w:pPr>
              <w:pStyle w:val="Normal"/>
              <w:widowControl w:val="false"/>
              <w:tabs>
                <w:tab w:val="clear" w:pos="709"/>
              </w:tabs>
              <w:jc w:val="left"/>
              <w:rPr>
                <w:b/>
                <w:b/>
              </w:rPr>
            </w:pPr>
            <w:r>
              <w:rPr>
                <w:b/>
              </w:rPr>
            </w:r>
          </w:p>
        </w:tc>
        <w:tc>
          <w:tcPr>
            <w:tcW w:w="40" w:type="dxa"/>
            <w:tcBorders/>
            <w:vAlign w:val="bottom"/>
          </w:tcPr>
          <w:p>
            <w:pPr>
              <w:pStyle w:val="Normal"/>
              <w:widowControl w:val="false"/>
              <w:tabs>
                <w:tab w:val="clear" w:pos="709"/>
              </w:tabs>
              <w:jc w:val="right"/>
              <w:rPr>
                <w:b/>
                <w:b/>
              </w:rPr>
            </w:pPr>
            <w:r>
              <w:rPr>
                <w:b/>
              </w:rPr>
            </w:r>
          </w:p>
        </w:tc>
        <w:tc>
          <w:tcPr>
            <w:tcW w:w="40" w:type="dxa"/>
            <w:tcBorders/>
            <w:vAlign w:val="bottom"/>
          </w:tcPr>
          <w:p>
            <w:pPr>
              <w:pStyle w:val="Normal"/>
              <w:widowControl w:val="false"/>
              <w:tabs>
                <w:tab w:val="clear" w:pos="709"/>
              </w:tabs>
              <w:jc w:val="center"/>
              <w:rPr>
                <w:sz w:val="16"/>
                <w:szCs w:val="16"/>
              </w:rPr>
            </w:pPr>
            <w:r>
              <w:rPr>
                <w:sz w:val="16"/>
                <w:szCs w:val="16"/>
              </w:rPr>
            </w:r>
          </w:p>
        </w:tc>
        <w:tc>
          <w:tcPr>
            <w:tcW w:w="2584" w:type="dxa"/>
            <w:tcBorders/>
            <w:vAlign w:val="bottom"/>
          </w:tcPr>
          <w:p>
            <w:pPr>
              <w:pStyle w:val="Normal"/>
              <w:widowControl w:val="false"/>
              <w:tabs>
                <w:tab w:val="clear" w:pos="709"/>
              </w:tabs>
              <w:jc w:val="center"/>
              <w:rPr>
                <w:b/>
                <w:b/>
              </w:rPr>
            </w:pPr>
            <w:r>
              <w:rPr>
                <w:b/>
              </w:rPr>
            </w:r>
          </w:p>
        </w:tc>
      </w:tr>
    </w:tbl>
    <w:p>
      <w:pPr>
        <w:pStyle w:val="Normal"/>
        <w:rPr>
          <w:sz w:val="16"/>
          <w:szCs w:val="16"/>
        </w:rPr>
      </w:pPr>
      <w:r>
        <w:rPr>
          <w:sz w:val="16"/>
          <w:szCs w:val="16"/>
        </w:rPr>
      </w:r>
    </w:p>
    <w:p>
      <w:pPr>
        <w:pStyle w:val="Normal"/>
        <w:numPr>
          <w:ilvl w:val="0"/>
          <w:numId w:val="2"/>
        </w:numPr>
        <w:bidi w:val="0"/>
        <w:jc w:val="left"/>
        <w:rPr>
          <w:rFonts w:ascii="Liberation Serif" w:hAnsi="Liberation Serif" w:eastAsia="SimSun" w:cs="Mangal"/>
          <w:color w:val="auto"/>
          <w:kern w:val="2"/>
          <w:sz w:val="24"/>
          <w:szCs w:val="24"/>
          <w:lang w:val="en-US" w:eastAsia="zh-CN" w:bidi="hi-IN"/>
        </w:rPr>
      </w:pPr>
      <w:r>
        <w:rPr>
          <w:rFonts w:eastAsia="SimSun" w:cs="Mangal" w:ascii="Liberation Serif" w:hAnsi="Liberation Serif"/>
          <w:color w:val="auto"/>
          <w:kern w:val="2"/>
          <w:sz w:val="24"/>
          <w:szCs w:val="24"/>
          <w:lang w:val="en-US" w:eastAsia="zh-CN" w:bidi="hi-IN"/>
        </w:rPr>
        <w:t xml:space="preserve">The proposed budget will be available for review </w:t>
      </w:r>
      <w:r>
        <w:rPr>
          <w:rFonts w:eastAsia="SimSun" w:cs="Mangal" w:ascii="Liberation Serif" w:hAnsi="Liberation Serif"/>
          <w:color w:val="auto"/>
          <w:kern w:val="2"/>
          <w:sz w:val="24"/>
          <w:szCs w:val="24"/>
          <w:lang w:val="en-US" w:eastAsia="zh-CN" w:bidi="hi-IN"/>
        </w:rPr>
        <w:t xml:space="preserve">upon request </w:t>
      </w:r>
      <w:r>
        <w:rPr>
          <w:rFonts w:eastAsia="SimSun" w:cs="Mangal" w:ascii="Liberation Serif" w:hAnsi="Liberation Serif"/>
          <w:color w:val="auto"/>
          <w:kern w:val="2"/>
          <w:sz w:val="24"/>
          <w:szCs w:val="24"/>
          <w:lang w:val="en-US" w:eastAsia="zh-CN" w:bidi="hi-IN"/>
        </w:rPr>
        <w:t>at the DeRidder library branch during all open hours between November 9 and the public hearing. On motion of Cuevas, second by Poe (carried unanimously), the Board will hold a public hearing for the proposed budget at the 205 S Washington St in DeRidder on Nov 28 at 6:10PM. A board meeting will immediately follow to discuss and adopt the budget for FY 2023.</w:t>
      </w:r>
    </w:p>
    <w:p>
      <w:pPr>
        <w:pStyle w:val="Normal"/>
        <w:numPr>
          <w:ilvl w:val="0"/>
          <w:numId w:val="2"/>
        </w:numPr>
        <w:bidi w:val="0"/>
        <w:jc w:val="left"/>
        <w:rPr>
          <w:rFonts w:ascii="Liberation Serif" w:hAnsi="Liberation Serif" w:eastAsia="SimSun" w:cs="Mangal"/>
          <w:color w:val="auto"/>
          <w:kern w:val="2"/>
          <w:sz w:val="24"/>
          <w:szCs w:val="24"/>
          <w:lang w:val="en-US" w:eastAsia="zh-CN" w:bidi="hi-IN"/>
        </w:rPr>
      </w:pPr>
      <w:r>
        <w:rPr>
          <w:rFonts w:eastAsia="SimSun" w:cs="Mangal" w:ascii="Liberation Serif" w:hAnsi="Liberation Serif"/>
          <w:color w:val="auto"/>
          <w:kern w:val="2"/>
          <w:sz w:val="24"/>
          <w:szCs w:val="24"/>
          <w:lang w:val="en-US" w:eastAsia="zh-CN" w:bidi="hi-IN"/>
        </w:rPr>
        <w:t>Blankenship moved to hold the 2023 quarterly board meetings on the 1</w:t>
      </w:r>
      <w:r>
        <w:rPr>
          <w:rFonts w:eastAsia="SimSun" w:cs="Mangal" w:ascii="Liberation Serif" w:hAnsi="Liberation Serif"/>
          <w:color w:val="auto"/>
          <w:kern w:val="2"/>
          <w:sz w:val="24"/>
          <w:szCs w:val="24"/>
          <w:vertAlign w:val="superscript"/>
          <w:lang w:val="en-US" w:eastAsia="zh-CN" w:bidi="hi-IN"/>
        </w:rPr>
        <w:t>st</w:t>
      </w:r>
      <w:r>
        <w:rPr>
          <w:rFonts w:eastAsia="SimSun" w:cs="Mangal" w:ascii="Liberation Serif" w:hAnsi="Liberation Serif"/>
          <w:color w:val="auto"/>
          <w:kern w:val="2"/>
          <w:sz w:val="24"/>
          <w:szCs w:val="24"/>
          <w:lang w:val="en-US" w:eastAsia="zh-CN" w:bidi="hi-IN"/>
        </w:rPr>
        <w:t xml:space="preserve"> Monday of February (2/6), May (5/1), August (8/7), and November (11/6) with start times of either 4:30 or 4:45 – exact time to be included in public notices for the meetings. Poe seconded and the motion carried unanimously.</w:t>
      </w:r>
    </w:p>
    <w:p>
      <w:pPr>
        <w:pStyle w:val="Normal"/>
        <w:numPr>
          <w:ilvl w:val="0"/>
          <w:numId w:val="2"/>
        </w:numPr>
        <w:bidi w:val="0"/>
        <w:jc w:val="left"/>
        <w:rPr>
          <w:rFonts w:ascii="Liberation Serif" w:hAnsi="Liberation Serif" w:eastAsia="SimSun" w:cs="Mangal"/>
          <w:color w:val="auto"/>
          <w:kern w:val="2"/>
          <w:sz w:val="24"/>
          <w:szCs w:val="24"/>
          <w:lang w:val="en-US" w:eastAsia="zh-CN" w:bidi="hi-IN"/>
        </w:rPr>
      </w:pPr>
      <w:r>
        <w:rPr>
          <w:rFonts w:eastAsia="SimSun" w:cs="Mangal" w:ascii="Liberation Serif" w:hAnsi="Liberation Serif"/>
          <w:color w:val="auto"/>
          <w:kern w:val="2"/>
          <w:sz w:val="24"/>
          <w:szCs w:val="24"/>
          <w:lang w:val="en-US" w:eastAsia="zh-CN" w:bidi="hi-IN"/>
        </w:rPr>
        <w:t>Poe moved that the current board officers (Lannen as president and Blankenship as vice president) serve for another year. Sonnier seconded and the motion carried.</w:t>
      </w:r>
    </w:p>
    <w:p>
      <w:pPr>
        <w:pStyle w:val="Normal"/>
        <w:numPr>
          <w:ilvl w:val="0"/>
          <w:numId w:val="2"/>
        </w:numPr>
        <w:bidi w:val="0"/>
        <w:jc w:val="left"/>
        <w:rPr>
          <w:rFonts w:ascii="Liberation Serif" w:hAnsi="Liberation Serif" w:eastAsia="SimSun" w:cs="Mangal"/>
          <w:color w:val="auto"/>
          <w:kern w:val="2"/>
          <w:sz w:val="24"/>
          <w:szCs w:val="24"/>
          <w:lang w:val="en-US" w:eastAsia="zh-CN" w:bidi="hi-IN"/>
        </w:rPr>
      </w:pPr>
      <w:r>
        <w:rPr>
          <w:rFonts w:eastAsia="SimSun" w:cs="Mangal" w:ascii="Liberation Serif" w:hAnsi="Liberation Serif"/>
          <w:color w:val="auto"/>
          <w:kern w:val="2"/>
          <w:sz w:val="24"/>
          <w:szCs w:val="24"/>
          <w:lang w:val="en-US" w:eastAsia="zh-CN" w:bidi="hi-IN"/>
        </w:rPr>
        <w:t>Blankenship moved to renew the Records Retention Schedule; Cuevas seconded and the motion carried.</w:t>
      </w:r>
    </w:p>
    <w:p>
      <w:pPr>
        <w:pStyle w:val="Normal"/>
        <w:numPr>
          <w:ilvl w:val="0"/>
          <w:numId w:val="2"/>
        </w:numPr>
        <w:bidi w:val="0"/>
        <w:jc w:val="left"/>
        <w:rPr>
          <w:rFonts w:ascii="Liberation Serif" w:hAnsi="Liberation Serif" w:eastAsia="SimSun" w:cs="Mangal"/>
          <w:color w:val="auto"/>
          <w:kern w:val="2"/>
          <w:sz w:val="24"/>
          <w:szCs w:val="24"/>
          <w:lang w:val="en-US" w:eastAsia="zh-CN" w:bidi="hi-IN"/>
        </w:rPr>
      </w:pPr>
      <w:r>
        <w:rPr>
          <w:rFonts w:eastAsia="SimSun" w:cs="Mangal" w:ascii="Liberation Serif" w:hAnsi="Liberation Serif"/>
          <w:color w:val="auto"/>
          <w:kern w:val="2"/>
          <w:sz w:val="24"/>
          <w:szCs w:val="24"/>
          <w:lang w:val="en-US" w:eastAsia="zh-CN" w:bidi="hi-IN"/>
        </w:rPr>
        <w:t>Boggs moved to approve investing $120,000 with UBS. Cuevas seconded and the motion carried.</w:t>
      </w:r>
    </w:p>
    <w:p>
      <w:pPr>
        <w:pStyle w:val="Normal"/>
        <w:numPr>
          <w:ilvl w:val="0"/>
          <w:numId w:val="2"/>
        </w:numPr>
        <w:bidi w:val="0"/>
        <w:jc w:val="left"/>
        <w:rPr>
          <w:rFonts w:ascii="Liberation Serif" w:hAnsi="Liberation Serif" w:eastAsia="SimSun" w:cs="Mangal"/>
          <w:color w:val="auto"/>
          <w:kern w:val="2"/>
          <w:sz w:val="24"/>
          <w:szCs w:val="24"/>
          <w:lang w:val="en-US" w:eastAsia="zh-CN" w:bidi="hi-IN"/>
        </w:rPr>
      </w:pPr>
      <w:r>
        <w:rPr>
          <w:rFonts w:eastAsia="SimSun" w:cs="Mangal" w:ascii="Liberation Serif" w:hAnsi="Liberation Serif"/>
          <w:color w:val="auto"/>
          <w:kern w:val="2"/>
          <w:sz w:val="24"/>
          <w:szCs w:val="24"/>
          <w:lang w:val="en-US" w:eastAsia="zh-CN" w:bidi="hi-IN"/>
        </w:rPr>
        <w:t>Chesnutt reminded the board of required annual training (ethics for public servants / board members; preventing sexual harassment; and preventing sexual harassment for supervisors) and the approaching due date for certificates of completion. Lannen asked that she send out links to the online training again.</w:t>
      </w:r>
    </w:p>
    <w:p>
      <w:pPr>
        <w:pStyle w:val="Normal"/>
        <w:numPr>
          <w:ilvl w:val="0"/>
          <w:numId w:val="2"/>
        </w:numPr>
        <w:bidi w:val="0"/>
        <w:jc w:val="left"/>
        <w:rPr>
          <w:rFonts w:ascii="Liberation Serif" w:hAnsi="Liberation Serif" w:eastAsia="SimSun" w:cs="Mangal"/>
          <w:color w:val="auto"/>
          <w:kern w:val="2"/>
          <w:sz w:val="24"/>
          <w:szCs w:val="24"/>
          <w:lang w:val="en-US" w:eastAsia="zh-CN" w:bidi="hi-IN"/>
        </w:rPr>
      </w:pPr>
      <w:r>
        <w:rPr>
          <w:rFonts w:eastAsia="SimSun" w:cs="Mangal" w:ascii="Liberation Serif" w:hAnsi="Liberation Serif"/>
          <w:color w:val="auto"/>
          <w:kern w:val="2"/>
          <w:sz w:val="24"/>
          <w:szCs w:val="24"/>
          <w:lang w:val="en-US" w:eastAsia="zh-CN" w:bidi="hi-IN"/>
        </w:rPr>
        <w:t>Boggs approved updating Section 1.5 of the Policy Manual; Blankenship seconded and the motion carried. The policy will now read:</w:t>
      </w:r>
    </w:p>
    <w:p>
      <w:pPr>
        <w:pStyle w:val="TextBody"/>
        <w:bidi w:val="0"/>
        <w:spacing w:before="0" w:after="0"/>
        <w:ind w:left="1418" w:right="0" w:hanging="0"/>
        <w:jc w:val="left"/>
        <w:rPr>
          <w:rFonts w:ascii="Liberation Serif" w:hAnsi="Liberation Serif"/>
        </w:rPr>
      </w:pPr>
      <w:r>
        <w:rPr>
          <w:rFonts w:eastAsia="SimSun" w:cs="Mangal" w:ascii="Liberation Serif" w:hAnsi="Liberation Serif"/>
          <w:color w:val="auto"/>
          <w:kern w:val="2"/>
          <w:sz w:val="21"/>
          <w:szCs w:val="21"/>
          <w:u w:val="single"/>
          <w:lang w:val="en-US" w:eastAsia="zh-CN" w:bidi="hi-IN"/>
        </w:rPr>
        <w:t>1.5 Financial Support of the Library</w:t>
      </w:r>
      <w:bookmarkStart w:id="0" w:name="page233R_mcid111"/>
      <w:bookmarkEnd w:id="0"/>
      <w:r>
        <w:rPr>
          <w:rFonts w:eastAsia="SimSun" w:cs="Mangal" w:ascii="Liberation Serif" w:hAnsi="Liberation Serif"/>
          <w:color w:val="auto"/>
          <w:kern w:val="2"/>
          <w:sz w:val="22"/>
          <w:szCs w:val="22"/>
          <w:lang w:val="en-US" w:eastAsia="zh-CN" w:bidi="hi-IN"/>
        </w:rPr>
        <w:br/>
      </w:r>
      <w:r>
        <w:rPr>
          <w:rFonts w:eastAsia="SimSun" w:cs="Mangal" w:ascii="Liberation Serif" w:hAnsi="Liberation Serif"/>
          <w:color w:val="000000"/>
          <w:kern w:val="2"/>
          <w:sz w:val="21"/>
          <w:szCs w:val="21"/>
          <w:shd w:fill="auto" w:val="clear"/>
          <w:lang w:val="en-US" w:eastAsia="zh-CN" w:bidi="hi-IN"/>
        </w:rPr>
        <w:t>The</w:t>
      </w:r>
      <w:bookmarkStart w:id="1" w:name="page233R_mcid121"/>
      <w:bookmarkEnd w:id="1"/>
      <w:r>
        <w:rPr>
          <w:rFonts w:eastAsia="SimSun" w:cs="Mangal" w:ascii="Liberation Serif" w:hAnsi="Liberation Serif"/>
          <w:color w:val="000000"/>
          <w:kern w:val="2"/>
          <w:sz w:val="21"/>
          <w:szCs w:val="21"/>
          <w:shd w:fill="auto" w:val="clear"/>
          <w:lang w:val="en-US" w:eastAsia="zh-CN" w:bidi="hi-IN"/>
        </w:rPr>
        <w:t xml:space="preserve"> Library</w:t>
      </w:r>
      <w:bookmarkStart w:id="2" w:name="page233R_mcid131"/>
      <w:bookmarkStart w:id="3" w:name="page233R_mcid141"/>
      <w:bookmarkEnd w:id="2"/>
      <w:bookmarkEnd w:id="3"/>
      <w:r>
        <w:rPr>
          <w:rFonts w:eastAsia="SimSun" w:cs="Mangal" w:ascii="Liberation Serif" w:hAnsi="Liberation Serif"/>
          <w:color w:val="000000"/>
          <w:kern w:val="2"/>
          <w:sz w:val="21"/>
          <w:szCs w:val="21"/>
          <w:shd w:fill="auto" w:val="clear"/>
          <w:lang w:val="en-US" w:eastAsia="zh-CN" w:bidi="hi-IN"/>
        </w:rPr>
        <w:t xml:space="preserve"> receives it financial support from a parish-wide ad valorem (property) tax that</w:t>
      </w:r>
      <w:bookmarkStart w:id="4" w:name="page233R_mcid151"/>
      <w:bookmarkEnd w:id="4"/>
      <w:r>
        <w:rPr>
          <w:rFonts w:eastAsia="SimSun" w:cs="Mangal" w:ascii="Liberation Serif" w:hAnsi="Liberation Serif"/>
          <w:color w:val="000000"/>
          <w:kern w:val="2"/>
          <w:sz w:val="21"/>
          <w:szCs w:val="21"/>
          <w:shd w:fill="auto" w:val="clear"/>
          <w:lang w:val="en-US" w:eastAsia="zh-CN" w:bidi="hi-IN"/>
        </w:rPr>
        <w:t xml:space="preserve"> must be voted on periodically.</w:t>
      </w:r>
      <w:bookmarkStart w:id="5" w:name="page233R_mcid161"/>
      <w:bookmarkEnd w:id="5"/>
      <w:r>
        <w:rPr>
          <w:rFonts w:eastAsia="SimSun" w:cs="Mangal" w:ascii="Liberation Serif" w:hAnsi="Liberation Serif"/>
          <w:color w:val="000000"/>
          <w:kern w:val="2"/>
          <w:sz w:val="21"/>
          <w:szCs w:val="21"/>
          <w:shd w:fill="auto" w:val="clear"/>
          <w:lang w:val="en-US" w:eastAsia="zh-CN" w:bidi="hi-IN"/>
        </w:rPr>
        <w:br/>
        <w:t>Currently, the millage</w:t>
      </w:r>
      <w:bookmarkStart w:id="6" w:name="page233R_mcid171"/>
      <w:bookmarkEnd w:id="6"/>
      <w:r>
        <w:rPr>
          <w:rFonts w:eastAsia="SimSun" w:cs="Mangal" w:ascii="Liberation Serif" w:hAnsi="Liberation Serif"/>
          <w:color w:val="000000"/>
          <w:kern w:val="2"/>
          <w:sz w:val="21"/>
          <w:szCs w:val="21"/>
          <w:shd w:fill="auto" w:val="clear"/>
          <w:lang w:val="en-US" w:eastAsia="zh-CN" w:bidi="hi-IN"/>
        </w:rPr>
        <w:t xml:space="preserve"> is 7.</w:t>
      </w:r>
      <w:bookmarkStart w:id="7" w:name="page233R_mcid181"/>
      <w:bookmarkEnd w:id="7"/>
      <w:r>
        <w:rPr>
          <w:rFonts w:eastAsia="SimSun" w:cs="Mangal" w:ascii="Liberation Serif" w:hAnsi="Liberation Serif"/>
          <w:color w:val="000000"/>
          <w:kern w:val="2"/>
          <w:sz w:val="21"/>
          <w:szCs w:val="21"/>
          <w:shd w:fill="auto" w:val="clear"/>
          <w:lang w:val="en-US" w:eastAsia="zh-CN" w:bidi="hi-IN"/>
        </w:rPr>
        <w:t>85 mills expiring in December 2032.</w:t>
      </w:r>
      <w:bookmarkStart w:id="8" w:name="page233R_mcid191"/>
      <w:bookmarkEnd w:id="8"/>
      <w:r>
        <w:rPr>
          <w:rFonts w:eastAsia="SimSun" w:cs="Mangal" w:ascii="Liberation Serif" w:hAnsi="Liberation Serif"/>
          <w:color w:val="000000"/>
          <w:kern w:val="2"/>
          <w:sz w:val="21"/>
          <w:szCs w:val="21"/>
          <w:shd w:fill="auto" w:val="clear"/>
          <w:lang w:val="en-US" w:eastAsia="zh-CN" w:bidi="hi-IN"/>
        </w:rPr>
        <w:br/>
        <w:t>The Library currently receives approximately $55,000 - $60,000 in annual State Revenue Sharing funds to replace taxes not</w:t>
      </w:r>
      <w:bookmarkStart w:id="9" w:name="page233R_mcid201"/>
      <w:bookmarkEnd w:id="9"/>
      <w:r>
        <w:rPr>
          <w:rFonts w:eastAsia="SimSun" w:cs="Mangal" w:ascii="Liberation Serif" w:hAnsi="Liberation Serif"/>
          <w:color w:val="000000"/>
          <w:kern w:val="2"/>
          <w:sz w:val="21"/>
          <w:szCs w:val="21"/>
          <w:shd w:fill="auto" w:val="clear"/>
          <w:lang w:val="en-US" w:eastAsia="zh-CN" w:bidi="hi-IN"/>
        </w:rPr>
        <w:t xml:space="preserve"> collected due to Homestead Exemption.</w:t>
      </w:r>
      <w:bookmarkStart w:id="10" w:name="page233R_mcid211"/>
      <w:bookmarkEnd w:id="10"/>
      <w:r>
        <w:rPr>
          <w:rFonts w:eastAsia="SimSun" w:cs="Mangal" w:ascii="Liberation Serif" w:hAnsi="Liberation Serif"/>
          <w:color w:val="000000"/>
          <w:kern w:val="2"/>
          <w:sz w:val="21"/>
          <w:szCs w:val="21"/>
          <w:shd w:fill="auto" w:val="clear"/>
          <w:lang w:val="en-US" w:eastAsia="zh-CN" w:bidi="hi-IN"/>
        </w:rPr>
        <w:br/>
        <w:t>No other funds are regularly received for the operation and maintenance of the Library except those generated by fees, gifts, and interest.</w:t>
      </w:r>
    </w:p>
    <w:p>
      <w:pPr>
        <w:pStyle w:val="TextBody"/>
        <w:numPr>
          <w:ilvl w:val="0"/>
          <w:numId w:val="2"/>
        </w:numPr>
        <w:bidi w:val="0"/>
        <w:spacing w:before="0" w:after="0"/>
        <w:jc w:val="left"/>
        <w:rPr>
          <w:rFonts w:ascii="Liberation Serif" w:hAnsi="Liberation Serif"/>
          <w:sz w:val="22"/>
          <w:szCs w:val="22"/>
        </w:rPr>
      </w:pPr>
      <w:r>
        <w:rPr>
          <w:rFonts w:ascii="Liberation Serif" w:hAnsi="Liberation Serif"/>
          <w:sz w:val="22"/>
          <w:szCs w:val="22"/>
        </w:rPr>
        <w:t>Lannen requested the Board approve amending the 2022 75</w:t>
      </w:r>
      <w:r>
        <w:rPr>
          <w:rFonts w:ascii="Liberation Serif" w:hAnsi="Liberation Serif"/>
          <w:sz w:val="22"/>
          <w:szCs w:val="22"/>
          <w:vertAlign w:val="superscript"/>
        </w:rPr>
        <w:t>th</w:t>
      </w:r>
      <w:r>
        <w:rPr>
          <w:rFonts w:ascii="Liberation Serif" w:hAnsi="Liberation Serif"/>
          <w:sz w:val="22"/>
          <w:szCs w:val="22"/>
        </w:rPr>
        <w:t xml:space="preserve"> Anniversary budget by adding $3,000 (to be deducted from the BARR budget). Cuevas moved to do so; Boggs seconded and the motion carried. Chesnutt requested assistance in inviting the DeRidder City Council, Merryville Town Council, and Police Jury members to the anniversary party.  She has BPL on the agenda for all 3 November meetings but they all fall on the same evening.  Chesnutt, Asst Director Julie Moncada, and 1 board member will be needed to divide and attend the meetings on Nov 14.</w:t>
      </w:r>
    </w:p>
    <w:p>
      <w:pPr>
        <w:pStyle w:val="TextBody"/>
        <w:numPr>
          <w:ilvl w:val="0"/>
          <w:numId w:val="2"/>
        </w:numPr>
        <w:bidi w:val="0"/>
        <w:spacing w:before="0" w:after="0"/>
        <w:jc w:val="left"/>
        <w:rPr>
          <w:rFonts w:ascii="Liberation Serif" w:hAnsi="Liberation Serif"/>
          <w:sz w:val="22"/>
          <w:szCs w:val="22"/>
        </w:rPr>
      </w:pPr>
      <w:r>
        <w:rPr>
          <w:rFonts w:ascii="Liberation Serif" w:hAnsi="Liberation Serif"/>
          <w:sz w:val="22"/>
          <w:szCs w:val="22"/>
        </w:rPr>
        <w:t>Chesnutt reviewed the year-to-date financial report and noted a final amendment will be needed at the February meeting. The statistical report yields positive reflections of the Library’s impact. In fact, a year-to-date comparison of foot-traffic in our library buildings shows a 30+% increase over last year. Circulation of physical items is also climbing, especially at the new West Central branch. She shared an Activities Report of the Aug-Oct quarter covering Personnel, Outreach &amp; Community Involvement; Facilities; and noted that our new resource Skill Mill is going well and offering partnership opportunities.</w:t>
      </w:r>
    </w:p>
    <w:p>
      <w:pPr>
        <w:pStyle w:val="TextBody"/>
        <w:numPr>
          <w:ilvl w:val="0"/>
          <w:numId w:val="2"/>
        </w:numPr>
        <w:bidi w:val="0"/>
        <w:spacing w:before="0" w:after="283"/>
        <w:jc w:val="left"/>
        <w:rPr>
          <w:rFonts w:ascii="Liberation Serif" w:hAnsi="Liberation Serif"/>
          <w:sz w:val="22"/>
          <w:szCs w:val="22"/>
        </w:rPr>
      </w:pPr>
      <w:r>
        <w:rPr>
          <w:rFonts w:ascii="Liberation Serif" w:hAnsi="Liberation Serif"/>
          <w:sz w:val="22"/>
          <w:szCs w:val="22"/>
        </w:rPr>
        <w:t>Cuevas moved to adjourn; Boggs seconded and the motion carried.</w:t>
      </w:r>
    </w:p>
    <w:sectPr>
      <w:footerReference w:type="default" r:id="rId3"/>
      <w:type w:val="nextPage"/>
      <w:pgSz w:w="12240" w:h="15840"/>
      <w:pgMar w:left="1134" w:right="1134" w:header="0" w:top="1134" w:footer="1134" w:bottom="2409"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 Sans">
    <w:charset w:val="01"/>
    <w:family w:val="roman"/>
    <w:pitch w:val="variable"/>
  </w:font>
  <w:font w:name="OpenSymbol">
    <w:altName w:val="Arial Unicode MS"/>
    <w:charset w:val="01"/>
    <w:family w:val="roman"/>
    <w:pitch w:val="variable"/>
  </w:font>
  <w:font w:name="Cambr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center"/>
      <w:rPr>
        <w:rFonts w:ascii="Cambria" w:hAnsi="Cambria"/>
        <w:b/>
        <w:b/>
        <w:bCs/>
        <w:color w:val="6E4DA0"/>
        <w:lang w:val="en-US"/>
      </w:rPr>
    </w:pPr>
    <w:r>
      <w:rPr>
        <w:rFonts w:ascii="Cambria" w:hAnsi="Cambria"/>
        <w:b/>
        <w:bCs/>
        <w:color w:val="6E4DA0"/>
        <w:lang w:val="en-US"/>
      </w:rPr>
      <w:t>FIND IT HERE</w:t>
    </w:r>
  </w:p>
  <w:p>
    <w:pPr>
      <w:pStyle w:val="Footer"/>
      <w:bidi w:val="0"/>
      <w:jc w:val="center"/>
      <w:rPr>
        <w:rFonts w:ascii="Cambria" w:hAnsi="Cambria"/>
        <w:b/>
        <w:b/>
        <w:bCs/>
        <w:color w:val="6E4DA0"/>
        <w:sz w:val="12"/>
        <w:szCs w:val="12"/>
        <w:lang w:val="en-US"/>
      </w:rPr>
    </w:pPr>
    <w:r>
      <w:rPr>
        <w:rFonts w:ascii="Cambria" w:hAnsi="Cambria"/>
        <w:b/>
        <w:bCs/>
        <w:color w:val="6E4DA0"/>
        <w:sz w:val="12"/>
        <w:szCs w:val="12"/>
        <w:lang w:val="en-US"/>
      </w:rPr>
    </w:r>
  </w:p>
  <w:p>
    <w:pPr>
      <w:pStyle w:val="Footer"/>
      <w:bidi w:val="0"/>
      <w:jc w:val="center"/>
      <w:rPr>
        <w:rFonts w:ascii="Cambria" w:hAnsi="Cambria"/>
        <w:b/>
        <w:b/>
        <w:bCs/>
        <w:color w:val="6E4DA0"/>
        <w:lang w:val="en-US"/>
      </w:rPr>
    </w:pPr>
    <w:r>
      <w:rPr>
        <w:rFonts w:ascii="Cambria" w:hAnsi="Cambria"/>
        <w:b/>
        <w:bCs/>
        <w:color w:val="6E4DA0"/>
        <w:lang w:val="en-US"/>
      </w:rPr>
      <w:t>337-463-6217  or  1-800-524-6239</w:t>
    </w:r>
  </w:p>
  <w:p>
    <w:pPr>
      <w:pStyle w:val="Footer"/>
      <w:bidi w:val="0"/>
      <w:jc w:val="center"/>
      <w:rPr>
        <w:rFonts w:ascii="Cambria" w:hAnsi="Cambria"/>
        <w:b/>
        <w:b/>
        <w:bCs/>
        <w:color w:val="6E4DA0"/>
        <w:sz w:val="12"/>
        <w:szCs w:val="12"/>
        <w:lang w:val="en-US"/>
      </w:rPr>
    </w:pPr>
    <w:r>
      <w:rPr>
        <w:rFonts w:ascii="Cambria" w:hAnsi="Cambria"/>
        <w:b/>
        <w:bCs/>
        <w:color w:val="6E4DA0"/>
        <w:sz w:val="12"/>
        <w:szCs w:val="12"/>
        <w:lang w:val="en-US"/>
      </w:rPr>
    </w:r>
  </w:p>
  <w:p>
    <w:pPr>
      <w:pStyle w:val="Footer"/>
      <w:bidi w:val="0"/>
      <w:jc w:val="center"/>
      <w:rPr>
        <w:rFonts w:ascii="Cambria" w:hAnsi="Cambria"/>
        <w:b/>
        <w:b/>
        <w:bCs/>
        <w:color w:val="6E4DA0"/>
        <w:lang w:val="en-US"/>
      </w:rPr>
    </w:pPr>
    <w:r>
      <w:rPr>
        <w:rFonts w:ascii="Cambria" w:hAnsi="Cambria"/>
        <w:b/>
        <w:bCs/>
        <w:color w:val="6E4DA0"/>
        <w:lang w:val="en-US"/>
      </w:rPr>
      <w:t>library.beau.org</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432" w:hanging="432"/>
      </w:pPr>
    </w:lvl>
    <w:lvl w:ilvl="1">
      <w:start w:val="1"/>
      <w:pStyle w:val="Heading2"/>
      <w:numFmt w:val="none"/>
      <w:suff w:val="nothing"/>
      <w:lvlText w:val=""/>
      <w:lvlJc w:val="left"/>
      <w:pPr>
        <w:tabs>
          <w:tab w:val="num" w:pos="0"/>
        </w:tabs>
        <w:ind w:left="576" w:hanging="576"/>
      </w:pPr>
    </w:lvl>
    <w:lvl w:ilvl="2">
      <w:start w:val="1"/>
      <w:pStyle w:val="Heading3"/>
      <w:numFmt w:val="none"/>
      <w:suff w:val="nothing"/>
      <w:lvlText w:val=""/>
      <w:lvlJc w:val="left"/>
      <w:pPr>
        <w:tabs>
          <w:tab w:val="num" w:pos="0"/>
        </w:tabs>
        <w:ind w:left="720" w:hanging="720"/>
      </w:pPr>
    </w:lvl>
    <w:lvl w:ilvl="3">
      <w:start w:val="1"/>
      <w:pStyle w:val="Heading4"/>
      <w:numFmt w:val="none"/>
      <w:suff w:val="nothing"/>
      <w:lvlText w:val=""/>
      <w:lvlJc w:val="left"/>
      <w:pPr>
        <w:tabs>
          <w:tab w:val="num" w:pos="0"/>
        </w:tabs>
        <w:ind w:left="864" w:hanging="864"/>
      </w:pPr>
    </w:lvl>
    <w:lvl w:ilvl="4">
      <w:start w:val="1"/>
      <w:pStyle w:val="Heading5"/>
      <w:numFmt w:val="none"/>
      <w:suff w:val="nothing"/>
      <w:lvlText w:val=""/>
      <w:lvlJc w:val="left"/>
      <w:pPr>
        <w:tabs>
          <w:tab w:val="num" w:pos="0"/>
        </w:tabs>
        <w:ind w:left="1008" w:hanging="1008"/>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pStyle w:val="Heading8"/>
      <w:numFmt w:val="none"/>
      <w:suff w:val="nothing"/>
      <w:lvlText w:val=""/>
      <w:lvlJc w:val="left"/>
      <w:pPr>
        <w:tabs>
          <w:tab w:val="num" w:pos="0"/>
        </w:tabs>
        <w:ind w:left="1440" w:hanging="1440"/>
      </w:pPr>
    </w:lvl>
    <w:lvl w:ilvl="8">
      <w:start w:val="1"/>
      <w:pStyle w:val="Heading9"/>
      <w:numFmt w:val="none"/>
      <w:suff w:val="nothing"/>
      <w:lvlText w:val=""/>
      <w:lvlJc w:val="left"/>
      <w:pPr>
        <w:tabs>
          <w:tab w:val="num" w:pos="0"/>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Open Sans" w:hAnsi="Open Sans" w:eastAsia="SimSun" w:cs="Mangal"/>
        <w:kern w:val="2"/>
        <w:szCs w:val="24"/>
        <w:lang w:val="en-US"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Open Sans" w:hAnsi="Open Sans" w:eastAsia="SimSun" w:cs="Mangal"/>
      <w:color w:val="auto"/>
      <w:kern w:val="2"/>
      <w:sz w:val="20"/>
      <w:szCs w:val="24"/>
      <w:lang w:val="en-US"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color w:val="808080"/>
      <w:sz w:val="28"/>
      <w:szCs w:val="28"/>
    </w:rPr>
  </w:style>
  <w:style w:type="paragraph" w:styleId="Heading4">
    <w:name w:val="Heading 4"/>
    <w:basedOn w:val="Heading"/>
    <w:next w:val="TextBody"/>
    <w:qFormat/>
    <w:pPr>
      <w:numPr>
        <w:ilvl w:val="3"/>
        <w:numId w:val="1"/>
      </w:numPr>
      <w:spacing w:before="120" w:after="120"/>
      <w:outlineLvl w:val="3"/>
    </w:pPr>
    <w:rPr>
      <w:b/>
      <w:bCs/>
      <w:i/>
      <w:iCs/>
      <w:color w:val="808080"/>
      <w:sz w:val="27"/>
      <w:szCs w:val="27"/>
    </w:rPr>
  </w:style>
  <w:style w:type="paragraph" w:styleId="Heading5">
    <w:name w:val="Heading 5"/>
    <w:basedOn w:val="Heading"/>
    <w:next w:val="TextBody"/>
    <w:qFormat/>
    <w:pPr>
      <w:numPr>
        <w:ilvl w:val="4"/>
        <w:numId w:val="1"/>
      </w:numPr>
      <w:spacing w:before="120" w:after="60"/>
      <w:outlineLvl w:val="4"/>
    </w:pPr>
    <w:rPr>
      <w:b/>
      <w:bCs/>
      <w:sz w:val="24"/>
      <w:szCs w:val="24"/>
    </w:rPr>
  </w:style>
  <w:style w:type="paragraph" w:styleId="Heading8">
    <w:name w:val="Heading 8"/>
    <w:basedOn w:val="Heading"/>
    <w:next w:val="TextBody"/>
    <w:qFormat/>
    <w:pPr>
      <w:numPr>
        <w:ilvl w:val="7"/>
        <w:numId w:val="1"/>
      </w:numPr>
      <w:spacing w:before="60" w:after="60"/>
      <w:outlineLvl w:val="7"/>
    </w:pPr>
    <w:rPr>
      <w:b/>
      <w:bCs/>
      <w:i/>
      <w:iCs/>
      <w:sz w:val="22"/>
      <w:szCs w:val="22"/>
    </w:rPr>
  </w:style>
  <w:style w:type="paragraph" w:styleId="Heading9">
    <w:name w:val="Heading 9"/>
    <w:basedOn w:val="Heading"/>
    <w:next w:val="TextBody"/>
    <w:qFormat/>
    <w:pPr>
      <w:numPr>
        <w:ilvl w:val="8"/>
        <w:numId w:val="1"/>
      </w:numPr>
      <w:spacing w:before="60" w:after="60"/>
      <w:outlineLvl w:val="8"/>
    </w:pPr>
    <w:rPr>
      <w:b/>
      <w:bCs/>
      <w:sz w:val="21"/>
      <w:szCs w:val="21"/>
    </w:rPr>
  </w:style>
  <w:style w:type="character" w:styleId="Placeholder">
    <w:name w:val="Placeholder"/>
    <w:qFormat/>
    <w:rPr>
      <w:smallCaps/>
      <w:color w:val="008080"/>
      <w:u w:val="dotted"/>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Open Sans" w:hAnsi="Open Sans" w:eastAsia="Microsoft YaHei" w:cs="Mangal"/>
      <w:sz w:val="28"/>
      <w:szCs w:val="28"/>
    </w:rPr>
  </w:style>
  <w:style w:type="paragraph" w:styleId="TextBody">
    <w:name w:val="Body Text"/>
    <w:basedOn w:val="Normal"/>
    <w:pPr>
      <w:tabs>
        <w:tab w:val="clear" w:pos="709"/>
      </w:tabs>
      <w:spacing w:lineRule="auto" w:line="288" w:before="0" w:after="283"/>
      <w:jc w:val="both"/>
    </w:pPr>
    <w:rPr/>
  </w:style>
  <w:style w:type="paragraph" w:styleId="List">
    <w:name w:val="List"/>
    <w:basedOn w:val="TextBody"/>
    <w:pPr/>
    <w:rPr>
      <w:rFonts w:ascii="Open Sans" w:hAnsi="Open Sans" w:cs="Mangal"/>
    </w:rPr>
  </w:style>
  <w:style w:type="paragraph" w:styleId="Caption">
    <w:name w:val="Caption"/>
    <w:basedOn w:val="Normal"/>
    <w:qFormat/>
    <w:pPr>
      <w:suppressLineNumbers/>
      <w:spacing w:before="120" w:after="120"/>
    </w:pPr>
    <w:rPr>
      <w:rFonts w:ascii="Open Sans" w:hAnsi="Open Sans" w:cs="Mangal"/>
      <w:i/>
      <w:iCs/>
      <w:sz w:val="20"/>
      <w:szCs w:val="24"/>
    </w:rPr>
  </w:style>
  <w:style w:type="paragraph" w:styleId="Index">
    <w:name w:val="Index"/>
    <w:basedOn w:val="Normal"/>
    <w:qFormat/>
    <w:pPr>
      <w:suppressLineNumbers/>
    </w:pPr>
    <w:rPr>
      <w:rFonts w:ascii="Open Sans" w:hAnsi="Open Sans" w:cs="Mangal"/>
    </w:rPr>
  </w:style>
  <w:style w:type="paragraph" w:styleId="Senderaddress">
    <w:name w:val="sender address"/>
    <w:basedOn w:val="Normal"/>
    <w:qFormat/>
    <w:pPr>
      <w:tabs>
        <w:tab w:val="clear" w:pos="709"/>
        <w:tab w:val="left" w:pos="5663" w:leader="none"/>
        <w:tab w:val="right" w:pos="7850" w:leader="none"/>
      </w:tabs>
      <w:spacing w:before="0" w:after="567"/>
    </w:pPr>
    <w:rPr>
      <w:rFonts w:ascii="Open Sans" w:hAnsi="Open Sans"/>
      <w:sz w:val="20"/>
      <w:szCs w:val="20"/>
    </w:rPr>
  </w:style>
  <w:style w:type="paragraph" w:styleId="Address">
    <w:name w:val="address"/>
    <w:basedOn w:val="Normal"/>
    <w:qFormat/>
    <w:pPr>
      <w:spacing w:before="0" w:after="567"/>
    </w:pPr>
    <w:rPr>
      <w:rFonts w:ascii="Open Sans" w:hAnsi="Open Sans"/>
      <w:sz w:val="20"/>
      <w:szCs w:val="20"/>
    </w:rPr>
  </w:style>
  <w:style w:type="paragraph" w:styleId="Heading10">
    <w:name w:val="Heading 10"/>
    <w:basedOn w:val="Heading"/>
    <w:next w:val="TextBody"/>
    <w:qFormat/>
    <w:pPr>
      <w:spacing w:before="60" w:after="60"/>
      <w:outlineLvl w:val="8"/>
    </w:pPr>
    <w:rPr>
      <w:b/>
      <w:bCs/>
      <w:sz w:val="21"/>
      <w:szCs w:val="21"/>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Normal"/>
    <w:pPr>
      <w:suppressLineNumbers/>
      <w:tabs>
        <w:tab w:val="clear" w:pos="709"/>
        <w:tab w:val="center" w:pos="4819" w:leader="none"/>
        <w:tab w:val="right" w:pos="9638" w:leader="none"/>
      </w:tabs>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BPL Letterhead 75th</Template>
  <TotalTime>35</TotalTime>
  <Application>LibreOffice/7.1.5.2$Linux_X86_64 LibreOffice_project/85f04e9f809797b8199d13c421bd8a2b025d52b5</Application>
  <AppVersion>15.0000</AppVersion>
  <Pages>3</Pages>
  <Words>1069</Words>
  <Characters>5878</Characters>
  <CharactersWithSpaces>6829</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2022-08-15T18:27:47Z</dcterms:created>
  <dc:creator>Erin Chesnutt</dc:creator>
  <dc:description>Modern business letter with sans-serif font </dc:description>
  <dc:language>en-US</dc:language>
  <cp:lastModifiedBy>Erin Chesnutt</cp:lastModifiedBy>
  <dcterms:modified xsi:type="dcterms:W3CDTF">2022-11-08T10:28:10Z</dcterms:modified>
  <cp:revision>11</cp:revision>
  <dc:subject/>
  <dc:title>BPL Letterhead 75th</dc:title>
</cp:coreProperties>
</file>

<file path=docProps/custom.xml><?xml version="1.0" encoding="utf-8"?>
<Properties xmlns="http://schemas.openxmlformats.org/officeDocument/2006/custom-properties" xmlns:vt="http://schemas.openxmlformats.org/officeDocument/2006/docPropsVTypes"/>
</file>