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media/image2.png" ContentType="image/png"/>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enderaddress"/>
        <w:tabs>
          <w:tab w:val="clear" w:pos="5663"/>
          <w:tab w:val="right" w:pos="7850" w:leader="none"/>
          <w:tab w:val="right" w:pos="8559" w:leader="none"/>
        </w:tabs>
        <w:bidi w:val="0"/>
        <w:ind w:left="709" w:right="0" w:hanging="0"/>
        <w:jc w:val="left"/>
        <w:rPr>
          <w:rFonts w:ascii="Cambria" w:hAnsi="Cambria"/>
          <w:b/>
          <w:b/>
          <w:bCs/>
          <w:color w:val="6E4DA0"/>
          <w:sz w:val="28"/>
          <w:szCs w:val="28"/>
          <w:lang w:val="en-US"/>
        </w:rPr>
      </w:pPr>
      <w:r>
        <w:rPr>
          <w:rFonts w:ascii="Cambria" w:hAnsi="Cambria"/>
          <w:b/>
          <w:bCs/>
          <w:color w:val="6E4DA0"/>
          <w:sz w:val="28"/>
          <w:szCs w:val="28"/>
          <w:lang w:val="en-US"/>
        </w:rPr>
        <w:drawing>
          <wp:anchor behindDoc="0" distT="0" distB="0" distL="0" distR="0" simplePos="0" locked="0" layoutInCell="0" allowOverlap="1" relativeHeight="2">
            <wp:simplePos x="0" y="0"/>
            <wp:positionH relativeFrom="column">
              <wp:posOffset>-347345</wp:posOffset>
            </wp:positionH>
            <wp:positionV relativeFrom="paragraph">
              <wp:posOffset>-45720</wp:posOffset>
            </wp:positionV>
            <wp:extent cx="1845945" cy="123063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845945" cy="1230630"/>
                    </a:xfrm>
                    <a:prstGeom prst="rect">
                      <a:avLst/>
                    </a:prstGeom>
                  </pic:spPr>
                </pic:pic>
              </a:graphicData>
            </a:graphic>
          </wp:anchor>
        </w:drawing>
        <w:drawing>
          <wp:anchor behindDoc="0" distT="0" distB="0" distL="0" distR="0" simplePos="0" locked="0" layoutInCell="0" allowOverlap="1" relativeHeight="3">
            <wp:simplePos x="0" y="0"/>
            <wp:positionH relativeFrom="column">
              <wp:posOffset>4384675</wp:posOffset>
            </wp:positionH>
            <wp:positionV relativeFrom="paragraph">
              <wp:posOffset>-280670</wp:posOffset>
            </wp:positionV>
            <wp:extent cx="1818640" cy="1818640"/>
            <wp:effectExtent l="0" t="0" r="0" b="0"/>
            <wp:wrapSquare wrapText="largest"/>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3"/>
                    <a:stretch>
                      <a:fillRect/>
                    </a:stretch>
                  </pic:blipFill>
                  <pic:spPr bwMode="auto">
                    <a:xfrm>
                      <a:off x="0" y="0"/>
                      <a:ext cx="1818640" cy="1818640"/>
                    </a:xfrm>
                    <a:prstGeom prst="rect">
                      <a:avLst/>
                    </a:prstGeom>
                  </pic:spPr>
                </pic:pic>
              </a:graphicData>
            </a:graphic>
          </wp:anchor>
        </w:drawing>
      </w:r>
    </w:p>
    <w:p>
      <w:pPr>
        <w:pStyle w:val="Senderaddress"/>
        <w:tabs>
          <w:tab w:val="clear" w:pos="5663"/>
          <w:tab w:val="right" w:pos="7850" w:leader="none"/>
          <w:tab w:val="right" w:pos="8559" w:leader="none"/>
        </w:tabs>
        <w:bidi w:val="0"/>
        <w:ind w:left="709" w:right="0" w:hanging="0"/>
        <w:jc w:val="left"/>
        <w:rPr/>
      </w:pPr>
      <w:r>
        <w:rPr>
          <w:rFonts w:ascii="Cambria" w:hAnsi="Cambria"/>
          <w:b/>
          <w:bCs/>
          <w:color w:val="6E4DA0"/>
          <w:sz w:val="28"/>
          <w:szCs w:val="28"/>
          <w:lang w:val="en-US"/>
        </w:rPr>
        <w:t>Beauregard Parish Library</w:t>
        <w:br/>
        <w:t>205 S. Washington Ave</w:t>
        <w:br/>
        <w:t xml:space="preserve">DeRidder, La 70634 </w:t>
      </w:r>
      <w:r>
        <w:rPr>
          <w:lang w:val="en-US"/>
        </w:rPr>
        <w:br/>
        <w:tab/>
      </w:r>
    </w:p>
    <w:p>
      <w:pPr>
        <w:pStyle w:val="Normal"/>
        <w:bidi w:val="0"/>
        <w:jc w:val="center"/>
        <w:rPr>
          <w:rFonts w:ascii="Liberation Serif" w:hAnsi="Liberation Serif"/>
          <w:b/>
          <w:b/>
          <w:bCs/>
          <w:sz w:val="24"/>
          <w:szCs w:val="24"/>
        </w:rPr>
      </w:pPr>
      <w:r>
        <w:rPr>
          <w:rFonts w:ascii="Liberation Serif" w:hAnsi="Liberation Serif"/>
          <w:b/>
          <w:bCs/>
          <w:sz w:val="24"/>
          <w:szCs w:val="24"/>
        </w:rPr>
        <w:t>Beauregard Parish Library Board of Control Minutes</w:t>
      </w:r>
    </w:p>
    <w:p>
      <w:pPr>
        <w:pStyle w:val="Normal"/>
        <w:bidi w:val="0"/>
        <w:jc w:val="left"/>
        <w:rPr>
          <w:rFonts w:ascii="Liberation Serif" w:hAnsi="Liberation Serif"/>
          <w:sz w:val="24"/>
          <w:szCs w:val="24"/>
        </w:rPr>
      </w:pPr>
      <w:r>
        <w:rPr>
          <w:rFonts w:ascii="Liberation Serif" w:hAnsi="Liberation Serif"/>
          <w:sz w:val="24"/>
          <w:szCs w:val="24"/>
        </w:rPr>
      </w:r>
    </w:p>
    <w:p>
      <w:pPr>
        <w:pStyle w:val="Normal"/>
        <w:bidi w:val="0"/>
        <w:jc w:val="left"/>
        <w:rPr>
          <w:rFonts w:ascii="Liberation Serif" w:hAnsi="Liberation Serif"/>
          <w:sz w:val="24"/>
          <w:szCs w:val="24"/>
        </w:rPr>
      </w:pPr>
      <w:r>
        <w:rPr>
          <w:rFonts w:ascii="Liberation Serif" w:hAnsi="Liberation Serif"/>
          <w:sz w:val="24"/>
          <w:szCs w:val="24"/>
        </w:rPr>
        <w:t>The Library Board of Control met virtually on February 7, 2022 in an open meeting via the Zoom platform. President Angela Lannen called the meeting to order at 4:31 and noted a quorum made up of Jo Blankenship, Lynne Boggs, Tranquil Crosby, Beth Cuevas, Molly Poe, and Kelly Bailey, as well as herself. Candice Hodges was absent. Director Erin Chesnutt and architect David Brossett were also present.</w:t>
      </w:r>
    </w:p>
    <w:p>
      <w:pPr>
        <w:pStyle w:val="Normal"/>
        <w:bidi w:val="0"/>
        <w:jc w:val="left"/>
        <w:rPr>
          <w:rFonts w:ascii="Liberation Serif" w:hAnsi="Liberation Serif"/>
          <w:b w:val="false"/>
          <w:b w:val="false"/>
          <w:bCs w:val="false"/>
          <w:sz w:val="24"/>
          <w:szCs w:val="24"/>
        </w:rPr>
      </w:pPr>
      <w:r>
        <w:rPr>
          <w:rFonts w:ascii="Liberation Serif" w:hAnsi="Liberation Serif"/>
          <w:b w:val="false"/>
          <w:bCs w:val="false"/>
          <w:sz w:val="24"/>
          <w:szCs w:val="24"/>
        </w:rPr>
      </w:r>
    </w:p>
    <w:p>
      <w:pPr>
        <w:pStyle w:val="Normal"/>
        <w:numPr>
          <w:ilvl w:val="0"/>
          <w:numId w:val="2"/>
        </w:numPr>
        <w:bidi w:val="0"/>
        <w:jc w:val="left"/>
        <w:rPr>
          <w:rFonts w:ascii="Liberation Serif" w:hAnsi="Liberation Serif"/>
          <w:b w:val="false"/>
          <w:b w:val="false"/>
          <w:bCs w:val="false"/>
          <w:sz w:val="24"/>
          <w:szCs w:val="24"/>
        </w:rPr>
      </w:pPr>
      <w:r>
        <w:rPr>
          <w:rFonts w:ascii="Liberation Serif" w:hAnsi="Liberation Serif"/>
          <w:b w:val="false"/>
          <w:bCs w:val="false"/>
          <w:sz w:val="24"/>
          <w:szCs w:val="24"/>
        </w:rPr>
        <w:t>Blankenship moved to amend the agenda to include under New Business: Approve Erin Chesnutt as an authorized applicant to seek Hazard Mitigation funds to assist in installing a whole-building back-up generator; and Amend wording in Employee Manual sections 6.6.2 and 6.6.3. Cuevas seconded and the motion carried.</w:t>
      </w:r>
    </w:p>
    <w:p>
      <w:pPr>
        <w:pStyle w:val="Normal"/>
        <w:numPr>
          <w:ilvl w:val="0"/>
          <w:numId w:val="2"/>
        </w:numPr>
        <w:bidi w:val="0"/>
        <w:jc w:val="left"/>
        <w:rPr>
          <w:rFonts w:ascii="Liberation Serif" w:hAnsi="Liberation Serif"/>
          <w:b w:val="false"/>
          <w:b w:val="false"/>
          <w:bCs w:val="false"/>
          <w:sz w:val="24"/>
          <w:szCs w:val="24"/>
        </w:rPr>
      </w:pPr>
      <w:r>
        <w:rPr>
          <w:rFonts w:ascii="Liberation Serif" w:hAnsi="Liberation Serif"/>
          <w:b w:val="false"/>
          <w:bCs w:val="false"/>
          <w:sz w:val="24"/>
          <w:szCs w:val="24"/>
        </w:rPr>
        <w:t>Boggs moved to approve the minutes from the Nov 1, 2021 board meeting and the Nov 29 public hearing and budget meeting. Blankenship seconded and the motion carried.</w:t>
      </w:r>
    </w:p>
    <w:p>
      <w:pPr>
        <w:pStyle w:val="Normal"/>
        <w:numPr>
          <w:ilvl w:val="0"/>
          <w:numId w:val="2"/>
        </w:numPr>
        <w:bidi w:val="0"/>
        <w:jc w:val="left"/>
        <w:rPr>
          <w:rFonts w:ascii="Liberation Serif" w:hAnsi="Liberation Serif"/>
          <w:b w:val="false"/>
          <w:b w:val="false"/>
          <w:bCs w:val="false"/>
          <w:sz w:val="24"/>
          <w:szCs w:val="24"/>
        </w:rPr>
      </w:pPr>
      <w:r>
        <w:rPr>
          <w:rFonts w:ascii="Liberation Serif" w:hAnsi="Liberation Serif"/>
          <w:b w:val="false"/>
          <w:bCs w:val="false"/>
          <w:sz w:val="24"/>
          <w:szCs w:val="24"/>
        </w:rPr>
        <w:t>Cuevas moved to re-elect Lannen and Blankenship as board president and vice-president, respectively. Poe seconded and the motion carried.  Blankenship moved to set the remaining meeting dates for 2022 as May 2, Aug 1, and Nov 7, 2022 at 4:30 pm. Poe seconded and the motion carried.</w:t>
      </w:r>
    </w:p>
    <w:p>
      <w:pPr>
        <w:pStyle w:val="Normal"/>
        <w:numPr>
          <w:ilvl w:val="0"/>
          <w:numId w:val="2"/>
        </w:numPr>
        <w:bidi w:val="0"/>
        <w:jc w:val="left"/>
        <w:rPr>
          <w:rFonts w:ascii="Liberation Serif" w:hAnsi="Liberation Serif"/>
          <w:b w:val="false"/>
          <w:b w:val="false"/>
          <w:bCs w:val="false"/>
          <w:sz w:val="24"/>
          <w:szCs w:val="24"/>
        </w:rPr>
      </w:pPr>
      <w:r>
        <w:rPr>
          <w:rFonts w:ascii="Liberation Serif" w:hAnsi="Liberation Serif"/>
          <w:b w:val="false"/>
          <w:bCs w:val="false"/>
          <w:sz w:val="24"/>
          <w:szCs w:val="24"/>
        </w:rPr>
        <w:t xml:space="preserve">Architect David Brossett presented the plans for the East Beauregard branch building to the board. Blankenship approved asking the Police Jury to approve seeking bids for the project as soon as Brossett can get the paperwork together. Cuevas seconded and the motion passed unanimously. </w:t>
      </w:r>
    </w:p>
    <w:p>
      <w:pPr>
        <w:pStyle w:val="Normal"/>
        <w:numPr>
          <w:ilvl w:val="0"/>
          <w:numId w:val="2"/>
        </w:numPr>
        <w:bidi w:val="0"/>
        <w:jc w:val="left"/>
        <w:rPr>
          <w:rFonts w:ascii="Liberation Serif" w:hAnsi="Liberation Serif"/>
          <w:b w:val="false"/>
          <w:b w:val="false"/>
          <w:bCs w:val="false"/>
          <w:sz w:val="24"/>
          <w:szCs w:val="24"/>
        </w:rPr>
      </w:pPr>
      <w:r>
        <w:rPr>
          <w:rFonts w:ascii="Liberation Serif" w:hAnsi="Liberation Serif"/>
          <w:b w:val="false"/>
          <w:bCs w:val="false"/>
          <w:sz w:val="24"/>
          <w:szCs w:val="24"/>
        </w:rPr>
        <w:t xml:space="preserve">Chesnutt announced that the library has an MLIS student interning for 200 hours this spring semester and shared that she will be assisting with tracking metrics and output measures among other tasks. Chesnutt also shared that the LLA conference has been delayed until July; the PLA conference will take place in Portland, Oregon March 23-25. Trustees wishing to attend should connect with Chesnutt before Feb 16 to make arrangements. </w:t>
      </w:r>
    </w:p>
    <w:p>
      <w:pPr>
        <w:pStyle w:val="Normal"/>
        <w:numPr>
          <w:ilvl w:val="0"/>
          <w:numId w:val="2"/>
        </w:numPr>
        <w:bidi w:val="0"/>
        <w:jc w:val="left"/>
        <w:rPr>
          <w:rFonts w:ascii="Liberation Serif" w:hAnsi="Liberation Serif"/>
          <w:b w:val="false"/>
          <w:b w:val="false"/>
          <w:bCs w:val="false"/>
          <w:sz w:val="24"/>
          <w:szCs w:val="24"/>
        </w:rPr>
      </w:pPr>
      <w:r>
        <w:rPr>
          <w:rFonts w:ascii="Liberation Serif" w:hAnsi="Liberation Serif"/>
          <w:b w:val="false"/>
          <w:bCs w:val="false"/>
          <w:sz w:val="24"/>
          <w:szCs w:val="24"/>
        </w:rPr>
        <w:t>Chesnutt also reminded trustees of mandatory annual training with the Ethics Commission, and 2 one-hour long classes on preventing sexual harassment.  The mandatory financial disclosure form is due to the State Board of Ethics by May 15. Chesnutt will be submitting a packet on May 5 via certified mail; trustees are welcome to bring their completed forms by before then to be included in this packet.</w:t>
      </w:r>
    </w:p>
    <w:p>
      <w:pPr>
        <w:sectPr>
          <w:footerReference w:type="default" r:id="rId4"/>
          <w:type w:val="nextPage"/>
          <w:pgSz w:w="12240" w:h="15840"/>
          <w:pgMar w:left="1134" w:right="1134" w:gutter="0" w:header="0" w:top="1134" w:footer="1134" w:bottom="2409"/>
          <w:pgNumType w:fmt="decimal"/>
          <w:formProt w:val="false"/>
          <w:textDirection w:val="lrTb"/>
          <w:docGrid w:type="default" w:linePitch="600" w:charSpace="40960"/>
        </w:sectPr>
        <w:pStyle w:val="Normal"/>
        <w:numPr>
          <w:ilvl w:val="0"/>
          <w:numId w:val="2"/>
        </w:numPr>
        <w:bidi w:val="0"/>
        <w:jc w:val="left"/>
        <w:rPr>
          <w:rFonts w:ascii="Liberation Serif" w:hAnsi="Liberation Serif"/>
          <w:b w:val="false"/>
          <w:b w:val="false"/>
          <w:bCs w:val="false"/>
          <w:sz w:val="24"/>
          <w:szCs w:val="24"/>
        </w:rPr>
      </w:pPr>
      <w:r>
        <w:rPr>
          <w:rFonts w:ascii="Liberation Serif" w:hAnsi="Liberation Serif"/>
          <w:b w:val="false"/>
          <w:bCs w:val="false"/>
          <w:sz w:val="24"/>
          <w:szCs w:val="24"/>
        </w:rPr>
        <w:t xml:space="preserve">Chesnutt reviewed the final amendment proposal for fiscal year 2021’s budget. Blankenship moved to approve the proposal and the amendments for FY 2021 and 2022;  Boggs seconded </w:t>
      </w:r>
    </w:p>
    <w:p>
      <w:pPr>
        <w:pStyle w:val="Normal"/>
        <w:numPr>
          <w:ilvl w:val="0"/>
          <w:numId w:val="2"/>
        </w:numPr>
        <w:bidi w:val="0"/>
        <w:jc w:val="left"/>
        <w:rPr>
          <w:rFonts w:ascii="Liberation Serif" w:hAnsi="Liberation Serif"/>
          <w:b w:val="false"/>
          <w:b w:val="false"/>
          <w:bCs w:val="false"/>
          <w:sz w:val="24"/>
          <w:szCs w:val="24"/>
        </w:rPr>
      </w:pPr>
      <w:r>
        <w:rPr>
          <w:rFonts w:ascii="Liberation Serif" w:hAnsi="Liberation Serif"/>
          <w:b w:val="false"/>
          <w:bCs w:val="false"/>
          <w:sz w:val="24"/>
          <w:szCs w:val="24"/>
        </w:rPr>
        <w:t>and the motion carried. The final, amended budget for 2021 is:</w:t>
      </w:r>
    </w:p>
    <w:p>
      <w:pPr>
        <w:pStyle w:val="Normal"/>
        <w:bidi w:val="0"/>
        <w:jc w:val="left"/>
        <w:rPr>
          <w:rFonts w:ascii="Liberation Serif" w:hAnsi="Liberation Serif"/>
          <w:b w:val="false"/>
          <w:b w:val="false"/>
          <w:bCs w:val="false"/>
          <w:sz w:val="24"/>
          <w:szCs w:val="24"/>
        </w:rPr>
      </w:pPr>
      <w:r>
        <w:rPr>
          <w:rFonts w:ascii="Liberation Serif" w:hAnsi="Liberation Serif"/>
          <w:b w:val="false"/>
          <w:bCs w:val="false"/>
          <w:sz w:val="24"/>
          <w:szCs w:val="24"/>
        </w:rPr>
      </w:r>
    </w:p>
    <w:tbl>
      <w:tblPr>
        <w:tblW w:w="5222" w:type="dxa"/>
        <w:jc w:val="left"/>
        <w:tblInd w:w="-60" w:type="dxa"/>
        <w:tblLayout w:type="fixed"/>
        <w:tblCellMar>
          <w:top w:w="0" w:type="dxa"/>
          <w:left w:w="30" w:type="dxa"/>
          <w:bottom w:w="0" w:type="dxa"/>
          <w:right w:w="30" w:type="dxa"/>
        </w:tblCellMar>
      </w:tblPr>
      <w:tblGrid>
        <w:gridCol w:w="2972"/>
        <w:gridCol w:w="2249"/>
      </w:tblGrid>
      <w:tr>
        <w:trPr>
          <w:trHeight w:val="276" w:hRule="atLeast"/>
        </w:trPr>
        <w:tc>
          <w:tcPr>
            <w:tcW w:w="2972" w:type="dxa"/>
            <w:tcBorders/>
            <w:vAlign w:val="bottom"/>
          </w:tcPr>
          <w:p>
            <w:pPr>
              <w:pStyle w:val="Normal"/>
              <w:widowControl w:val="false"/>
              <w:tabs>
                <w:tab w:val="clear" w:pos="709"/>
              </w:tabs>
              <w:bidi w:val="0"/>
              <w:jc w:val="left"/>
              <w:rPr>
                <w:b/>
                <w:b/>
              </w:rPr>
            </w:pPr>
            <w:r>
              <w:rPr>
                <w:b/>
              </w:rPr>
              <w:t>REVENUES</w:t>
            </w:r>
          </w:p>
        </w:tc>
        <w:tc>
          <w:tcPr>
            <w:tcW w:w="2249" w:type="dxa"/>
            <w:tcBorders/>
            <w:vAlign w:val="bottom"/>
          </w:tcPr>
          <w:p>
            <w:pPr>
              <w:pStyle w:val="Normal"/>
              <w:widowControl w:val="false"/>
              <w:tabs>
                <w:tab w:val="clear" w:pos="709"/>
              </w:tabs>
              <w:bidi w:val="0"/>
              <w:jc w:val="right"/>
              <w:rPr>
                <w:b/>
                <w:b/>
              </w:rPr>
            </w:pPr>
            <w:r>
              <w:rPr>
                <w:b/>
              </w:rPr>
              <w:t xml:space="preserve">Final Budget 2021     </w:t>
            </w:r>
          </w:p>
        </w:tc>
      </w:tr>
      <w:tr>
        <w:trPr>
          <w:trHeight w:val="276" w:hRule="atLeast"/>
        </w:trPr>
        <w:tc>
          <w:tcPr>
            <w:tcW w:w="2972" w:type="dxa"/>
            <w:tcBorders/>
            <w:vAlign w:val="bottom"/>
          </w:tcPr>
          <w:p>
            <w:pPr>
              <w:pStyle w:val="Normal"/>
              <w:widowControl w:val="false"/>
              <w:tabs>
                <w:tab w:val="clear" w:pos="709"/>
              </w:tabs>
              <w:bidi w:val="0"/>
              <w:jc w:val="left"/>
              <w:rPr/>
            </w:pPr>
            <w:r>
              <w:rPr/>
              <w:t>Ad Valorem</w:t>
            </w:r>
          </w:p>
        </w:tc>
        <w:tc>
          <w:tcPr>
            <w:tcW w:w="2249" w:type="dxa"/>
            <w:tcBorders/>
            <w:vAlign w:val="bottom"/>
          </w:tcPr>
          <w:p>
            <w:pPr>
              <w:pStyle w:val="Normal"/>
              <w:widowControl w:val="false"/>
              <w:tabs>
                <w:tab w:val="clear" w:pos="709"/>
              </w:tabs>
              <w:bidi w:val="0"/>
              <w:jc w:val="right"/>
              <w:rPr/>
            </w:pPr>
            <w:r>
              <w:rPr/>
              <w:t>$2,155,997</w:t>
            </w:r>
          </w:p>
        </w:tc>
      </w:tr>
      <w:tr>
        <w:trPr>
          <w:trHeight w:val="276" w:hRule="atLeast"/>
        </w:trPr>
        <w:tc>
          <w:tcPr>
            <w:tcW w:w="2972" w:type="dxa"/>
            <w:tcBorders/>
            <w:vAlign w:val="bottom"/>
          </w:tcPr>
          <w:p>
            <w:pPr>
              <w:pStyle w:val="Normal"/>
              <w:widowControl w:val="false"/>
              <w:tabs>
                <w:tab w:val="clear" w:pos="709"/>
              </w:tabs>
              <w:bidi w:val="0"/>
              <w:jc w:val="left"/>
              <w:rPr/>
            </w:pPr>
            <w:r>
              <w:rPr/>
              <w:t>State Revenue Sharing</w:t>
            </w:r>
          </w:p>
        </w:tc>
        <w:tc>
          <w:tcPr>
            <w:tcW w:w="2249" w:type="dxa"/>
            <w:tcBorders/>
            <w:vAlign w:val="bottom"/>
          </w:tcPr>
          <w:p>
            <w:pPr>
              <w:pStyle w:val="Normal"/>
              <w:widowControl w:val="false"/>
              <w:tabs>
                <w:tab w:val="clear" w:pos="709"/>
              </w:tabs>
              <w:bidi w:val="0"/>
              <w:jc w:val="right"/>
              <w:rPr/>
            </w:pPr>
            <w:r>
              <w:rPr/>
              <w:t>$54,628</w:t>
            </w:r>
          </w:p>
        </w:tc>
      </w:tr>
      <w:tr>
        <w:trPr>
          <w:trHeight w:val="276" w:hRule="atLeast"/>
        </w:trPr>
        <w:tc>
          <w:tcPr>
            <w:tcW w:w="2972" w:type="dxa"/>
            <w:tcBorders/>
            <w:vAlign w:val="bottom"/>
          </w:tcPr>
          <w:p>
            <w:pPr>
              <w:pStyle w:val="Normal"/>
              <w:widowControl w:val="false"/>
              <w:tabs>
                <w:tab w:val="clear" w:pos="709"/>
              </w:tabs>
              <w:bidi w:val="0"/>
              <w:jc w:val="left"/>
              <w:rPr/>
            </w:pPr>
            <w:r>
              <w:rPr/>
              <w:t>Other</w:t>
            </w:r>
          </w:p>
        </w:tc>
        <w:tc>
          <w:tcPr>
            <w:tcW w:w="2249" w:type="dxa"/>
            <w:tcBorders/>
            <w:vAlign w:val="bottom"/>
          </w:tcPr>
          <w:p>
            <w:pPr>
              <w:pStyle w:val="Normal"/>
              <w:widowControl w:val="false"/>
              <w:tabs>
                <w:tab w:val="clear" w:pos="709"/>
              </w:tabs>
              <w:bidi w:val="0"/>
              <w:jc w:val="left"/>
              <w:rPr/>
            </w:pPr>
            <w:r>
              <w:rPr/>
            </w:r>
          </w:p>
        </w:tc>
      </w:tr>
      <w:tr>
        <w:trPr>
          <w:trHeight w:val="276" w:hRule="atLeast"/>
        </w:trPr>
        <w:tc>
          <w:tcPr>
            <w:tcW w:w="2972" w:type="dxa"/>
            <w:tcBorders/>
            <w:vAlign w:val="bottom"/>
          </w:tcPr>
          <w:p>
            <w:pPr>
              <w:pStyle w:val="Normal"/>
              <w:widowControl w:val="false"/>
              <w:tabs>
                <w:tab w:val="clear" w:pos="709"/>
              </w:tabs>
              <w:bidi w:val="0"/>
              <w:ind w:left="490" w:right="0" w:hanging="0"/>
              <w:jc w:val="left"/>
              <w:rPr>
                <w:i/>
                <w:i/>
              </w:rPr>
            </w:pPr>
            <w:r>
              <w:rPr>
                <w:i/>
              </w:rPr>
              <w:t>Fees (Library use)</w:t>
            </w:r>
          </w:p>
        </w:tc>
        <w:tc>
          <w:tcPr>
            <w:tcW w:w="2249" w:type="dxa"/>
            <w:tcBorders/>
            <w:vAlign w:val="bottom"/>
          </w:tcPr>
          <w:p>
            <w:pPr>
              <w:pStyle w:val="Normal"/>
              <w:widowControl w:val="false"/>
              <w:tabs>
                <w:tab w:val="clear" w:pos="709"/>
              </w:tabs>
              <w:bidi w:val="0"/>
              <w:jc w:val="right"/>
              <w:rPr/>
            </w:pPr>
            <w:r>
              <w:rPr/>
              <w:t>$6,031</w:t>
            </w:r>
          </w:p>
        </w:tc>
      </w:tr>
      <w:tr>
        <w:trPr>
          <w:trHeight w:val="276" w:hRule="atLeast"/>
        </w:trPr>
        <w:tc>
          <w:tcPr>
            <w:tcW w:w="2972" w:type="dxa"/>
            <w:tcBorders/>
            <w:vAlign w:val="bottom"/>
          </w:tcPr>
          <w:p>
            <w:pPr>
              <w:pStyle w:val="Normal"/>
              <w:widowControl w:val="false"/>
              <w:tabs>
                <w:tab w:val="clear" w:pos="709"/>
              </w:tabs>
              <w:bidi w:val="0"/>
              <w:ind w:left="490" w:right="0" w:hanging="0"/>
              <w:jc w:val="left"/>
              <w:rPr>
                <w:i/>
                <w:i/>
              </w:rPr>
            </w:pPr>
            <w:r>
              <w:rPr>
                <w:i/>
              </w:rPr>
              <w:t>Fines</w:t>
            </w:r>
          </w:p>
        </w:tc>
        <w:tc>
          <w:tcPr>
            <w:tcW w:w="2249" w:type="dxa"/>
            <w:tcBorders/>
            <w:vAlign w:val="bottom"/>
          </w:tcPr>
          <w:p>
            <w:pPr>
              <w:pStyle w:val="Normal"/>
              <w:widowControl w:val="false"/>
              <w:tabs>
                <w:tab w:val="clear" w:pos="709"/>
              </w:tabs>
              <w:bidi w:val="0"/>
              <w:jc w:val="right"/>
              <w:rPr/>
            </w:pPr>
            <w:r>
              <w:rPr/>
              <w:t>$2,925</w:t>
            </w:r>
          </w:p>
        </w:tc>
      </w:tr>
      <w:tr>
        <w:trPr>
          <w:trHeight w:val="276" w:hRule="atLeast"/>
        </w:trPr>
        <w:tc>
          <w:tcPr>
            <w:tcW w:w="2972" w:type="dxa"/>
            <w:tcBorders/>
            <w:vAlign w:val="bottom"/>
          </w:tcPr>
          <w:p>
            <w:pPr>
              <w:pStyle w:val="Normal"/>
              <w:widowControl w:val="false"/>
              <w:tabs>
                <w:tab w:val="clear" w:pos="709"/>
              </w:tabs>
              <w:bidi w:val="0"/>
              <w:ind w:left="490" w:right="0" w:hanging="0"/>
              <w:jc w:val="left"/>
              <w:rPr>
                <w:i/>
                <w:i/>
              </w:rPr>
            </w:pPr>
            <w:r>
              <w:rPr>
                <w:i/>
              </w:rPr>
              <w:t>Gifts &amp; Grants</w:t>
            </w:r>
          </w:p>
        </w:tc>
        <w:tc>
          <w:tcPr>
            <w:tcW w:w="2249" w:type="dxa"/>
            <w:tcBorders/>
            <w:vAlign w:val="bottom"/>
          </w:tcPr>
          <w:p>
            <w:pPr>
              <w:pStyle w:val="Normal"/>
              <w:widowControl w:val="false"/>
              <w:tabs>
                <w:tab w:val="clear" w:pos="709"/>
              </w:tabs>
              <w:bidi w:val="0"/>
              <w:jc w:val="right"/>
              <w:rPr/>
            </w:pPr>
            <w:r>
              <w:rPr/>
              <w:t>$58,509</w:t>
            </w:r>
          </w:p>
        </w:tc>
      </w:tr>
      <w:tr>
        <w:trPr>
          <w:trHeight w:val="276" w:hRule="atLeast"/>
        </w:trPr>
        <w:tc>
          <w:tcPr>
            <w:tcW w:w="2972" w:type="dxa"/>
            <w:tcBorders/>
            <w:vAlign w:val="bottom"/>
          </w:tcPr>
          <w:p>
            <w:pPr>
              <w:pStyle w:val="Normal"/>
              <w:widowControl w:val="false"/>
              <w:tabs>
                <w:tab w:val="clear" w:pos="709"/>
              </w:tabs>
              <w:bidi w:val="0"/>
              <w:ind w:left="490" w:right="0" w:hanging="0"/>
              <w:jc w:val="left"/>
              <w:rPr>
                <w:i/>
                <w:i/>
              </w:rPr>
            </w:pPr>
            <w:r>
              <w:rPr>
                <w:i/>
              </w:rPr>
              <w:t>Refunds/Reimbursements</w:t>
            </w:r>
          </w:p>
        </w:tc>
        <w:tc>
          <w:tcPr>
            <w:tcW w:w="2249" w:type="dxa"/>
            <w:tcBorders/>
            <w:vAlign w:val="bottom"/>
          </w:tcPr>
          <w:p>
            <w:pPr>
              <w:pStyle w:val="Normal"/>
              <w:widowControl w:val="false"/>
              <w:tabs>
                <w:tab w:val="clear" w:pos="709"/>
              </w:tabs>
              <w:bidi w:val="0"/>
              <w:jc w:val="right"/>
              <w:rPr/>
            </w:pPr>
            <w:r>
              <w:rPr/>
              <w:t>$94,975</w:t>
            </w:r>
          </w:p>
        </w:tc>
      </w:tr>
      <w:tr>
        <w:trPr>
          <w:trHeight w:val="276" w:hRule="atLeast"/>
        </w:trPr>
        <w:tc>
          <w:tcPr>
            <w:tcW w:w="2972" w:type="dxa"/>
            <w:tcBorders/>
            <w:vAlign w:val="bottom"/>
          </w:tcPr>
          <w:p>
            <w:pPr>
              <w:pStyle w:val="Normal"/>
              <w:widowControl w:val="false"/>
              <w:tabs>
                <w:tab w:val="clear" w:pos="709"/>
              </w:tabs>
              <w:bidi w:val="0"/>
              <w:ind w:left="490" w:right="0" w:hanging="0"/>
              <w:jc w:val="left"/>
              <w:rPr>
                <w:i/>
                <w:i/>
              </w:rPr>
            </w:pPr>
            <w:r>
              <w:rPr>
                <w:i/>
              </w:rPr>
              <w:t>Interest</w:t>
            </w:r>
          </w:p>
        </w:tc>
        <w:tc>
          <w:tcPr>
            <w:tcW w:w="2249" w:type="dxa"/>
            <w:tcBorders/>
            <w:vAlign w:val="bottom"/>
          </w:tcPr>
          <w:p>
            <w:pPr>
              <w:pStyle w:val="Normal"/>
              <w:widowControl w:val="false"/>
              <w:tabs>
                <w:tab w:val="clear" w:pos="709"/>
              </w:tabs>
              <w:bidi w:val="0"/>
              <w:jc w:val="right"/>
              <w:rPr/>
            </w:pPr>
            <w:r>
              <w:rPr/>
              <w:t>$525</w:t>
            </w:r>
          </w:p>
        </w:tc>
      </w:tr>
      <w:tr>
        <w:trPr>
          <w:trHeight w:val="276" w:hRule="atLeast"/>
        </w:trPr>
        <w:tc>
          <w:tcPr>
            <w:tcW w:w="2972" w:type="dxa"/>
            <w:tcBorders/>
            <w:vAlign w:val="bottom"/>
          </w:tcPr>
          <w:p>
            <w:pPr>
              <w:pStyle w:val="Normal"/>
              <w:widowControl w:val="false"/>
              <w:tabs>
                <w:tab w:val="clear" w:pos="709"/>
              </w:tabs>
              <w:bidi w:val="0"/>
              <w:jc w:val="left"/>
              <w:rPr/>
            </w:pPr>
            <w:r>
              <w:rPr/>
            </w:r>
          </w:p>
        </w:tc>
        <w:tc>
          <w:tcPr>
            <w:tcW w:w="2249" w:type="dxa"/>
            <w:tcBorders/>
            <w:vAlign w:val="bottom"/>
          </w:tcPr>
          <w:p>
            <w:pPr>
              <w:pStyle w:val="Normal"/>
              <w:widowControl w:val="false"/>
              <w:tabs>
                <w:tab w:val="clear" w:pos="709"/>
              </w:tabs>
              <w:bidi w:val="0"/>
              <w:jc w:val="left"/>
              <w:rPr/>
            </w:pPr>
            <w:r>
              <w:rPr/>
            </w:r>
          </w:p>
        </w:tc>
      </w:tr>
      <w:tr>
        <w:trPr>
          <w:trHeight w:val="276" w:hRule="atLeast"/>
        </w:trPr>
        <w:tc>
          <w:tcPr>
            <w:tcW w:w="2972" w:type="dxa"/>
            <w:tcBorders/>
            <w:vAlign w:val="bottom"/>
          </w:tcPr>
          <w:p>
            <w:pPr>
              <w:pStyle w:val="Normal"/>
              <w:widowControl w:val="false"/>
              <w:tabs>
                <w:tab w:val="clear" w:pos="709"/>
              </w:tabs>
              <w:bidi w:val="0"/>
              <w:jc w:val="left"/>
              <w:rPr/>
            </w:pPr>
            <w:r>
              <w:rPr/>
              <w:t>Balance Forward</w:t>
            </w:r>
          </w:p>
        </w:tc>
        <w:tc>
          <w:tcPr>
            <w:tcW w:w="2249" w:type="dxa"/>
            <w:tcBorders/>
            <w:vAlign w:val="bottom"/>
          </w:tcPr>
          <w:p>
            <w:pPr>
              <w:pStyle w:val="Normal"/>
              <w:widowControl w:val="false"/>
              <w:tabs>
                <w:tab w:val="clear" w:pos="709"/>
              </w:tabs>
              <w:bidi w:val="0"/>
              <w:jc w:val="right"/>
              <w:rPr/>
            </w:pPr>
            <w:r>
              <w:rPr/>
              <w:t>$3,385,739</w:t>
            </w:r>
          </w:p>
        </w:tc>
      </w:tr>
      <w:tr>
        <w:trPr>
          <w:trHeight w:val="276" w:hRule="atLeast"/>
        </w:trPr>
        <w:tc>
          <w:tcPr>
            <w:tcW w:w="2972" w:type="dxa"/>
            <w:tcBorders/>
            <w:vAlign w:val="bottom"/>
          </w:tcPr>
          <w:p>
            <w:pPr>
              <w:pStyle w:val="Normal"/>
              <w:widowControl w:val="false"/>
              <w:tabs>
                <w:tab w:val="clear" w:pos="709"/>
              </w:tabs>
              <w:bidi w:val="0"/>
              <w:jc w:val="left"/>
              <w:rPr/>
            </w:pPr>
            <w:r>
              <w:rPr/>
              <w:t>Total</w:t>
            </w:r>
          </w:p>
        </w:tc>
        <w:tc>
          <w:tcPr>
            <w:tcW w:w="2249" w:type="dxa"/>
            <w:tcBorders/>
            <w:vAlign w:val="bottom"/>
          </w:tcPr>
          <w:p>
            <w:pPr>
              <w:pStyle w:val="Normal"/>
              <w:widowControl w:val="false"/>
              <w:tabs>
                <w:tab w:val="clear" w:pos="709"/>
              </w:tabs>
              <w:bidi w:val="0"/>
              <w:jc w:val="right"/>
              <w:rPr/>
            </w:pPr>
            <w:r>
              <w:rPr/>
              <w:t>$5,759,329</w:t>
            </w:r>
          </w:p>
        </w:tc>
      </w:tr>
    </w:tbl>
    <w:p>
      <w:pPr>
        <w:pStyle w:val="Normal"/>
        <w:bidi w:val="0"/>
        <w:jc w:val="left"/>
        <w:rPr>
          <w:rFonts w:ascii="Liberation Serif" w:hAnsi="Liberation Serif"/>
          <w:b w:val="false"/>
          <w:b w:val="false"/>
          <w:bCs w:val="false"/>
          <w:sz w:val="24"/>
          <w:szCs w:val="24"/>
        </w:rPr>
      </w:pPr>
      <w:r>
        <w:rPr>
          <w:rFonts w:ascii="Liberation Serif" w:hAnsi="Liberation Serif"/>
          <w:b w:val="false"/>
          <w:bCs w:val="false"/>
          <w:sz w:val="24"/>
          <w:szCs w:val="24"/>
        </w:rPr>
      </w:r>
    </w:p>
    <w:p>
      <w:pPr>
        <w:pStyle w:val="Normal"/>
        <w:bidi w:val="0"/>
        <w:jc w:val="left"/>
        <w:rPr>
          <w:rFonts w:ascii="Liberation Serif" w:hAnsi="Liberation Serif"/>
          <w:b w:val="false"/>
          <w:b w:val="false"/>
          <w:i w:val="false"/>
          <w:i w:val="false"/>
          <w:strike w:val="false"/>
          <w:dstrike w:val="false"/>
          <w:outline w:val="false"/>
          <w:shadow w:val="false"/>
          <w:sz w:val="24"/>
          <w:u w:val="none"/>
          <w:em w:val="none"/>
        </w:rPr>
      </w:pPr>
      <w:r>
        <w:rPr>
          <w:rFonts w:ascii="Liberation Serif" w:hAnsi="Liberation Serif"/>
          <w:b w:val="false"/>
          <w:i w:val="false"/>
          <w:strike w:val="false"/>
          <w:dstrike w:val="false"/>
          <w:outline w:val="false"/>
          <w:shadow w:val="false"/>
          <w:sz w:val="24"/>
          <w:u w:val="none"/>
          <w:em w:val="none"/>
        </w:rPr>
      </w:r>
    </w:p>
    <w:tbl>
      <w:tblPr>
        <w:tblW w:w="5944" w:type="dxa"/>
        <w:jc w:val="left"/>
        <w:tblInd w:w="-60" w:type="dxa"/>
        <w:tblLayout w:type="fixed"/>
        <w:tblCellMar>
          <w:top w:w="0" w:type="dxa"/>
          <w:left w:w="30" w:type="dxa"/>
          <w:bottom w:w="0" w:type="dxa"/>
          <w:right w:w="30" w:type="dxa"/>
        </w:tblCellMar>
      </w:tblPr>
      <w:tblGrid>
        <w:gridCol w:w="3694"/>
        <w:gridCol w:w="2249"/>
      </w:tblGrid>
      <w:tr>
        <w:trPr>
          <w:trHeight w:val="256" w:hRule="atLeast"/>
        </w:trPr>
        <w:tc>
          <w:tcPr>
            <w:tcW w:w="3694" w:type="dxa"/>
            <w:tcBorders/>
            <w:vAlign w:val="bottom"/>
          </w:tcPr>
          <w:p>
            <w:pPr>
              <w:pStyle w:val="Normal"/>
              <w:widowControl w:val="false"/>
              <w:tabs>
                <w:tab w:val="clear" w:pos="709"/>
              </w:tabs>
              <w:bidi w:val="0"/>
              <w:jc w:val="left"/>
              <w:rPr>
                <w:b/>
                <w:b/>
              </w:rPr>
            </w:pPr>
            <w:r>
              <w:rPr>
                <w:b/>
              </w:rPr>
              <w:t>GENERAL FUND EXPENSE</w:t>
            </w:r>
          </w:p>
        </w:tc>
        <w:tc>
          <w:tcPr>
            <w:tcW w:w="2249" w:type="dxa"/>
            <w:tcBorders/>
            <w:vAlign w:val="bottom"/>
          </w:tcPr>
          <w:p>
            <w:pPr>
              <w:pStyle w:val="Normal"/>
              <w:widowControl w:val="false"/>
              <w:tabs>
                <w:tab w:val="clear" w:pos="709"/>
              </w:tabs>
              <w:bidi w:val="0"/>
              <w:jc w:val="right"/>
              <w:rPr>
                <w:b/>
                <w:b/>
              </w:rPr>
            </w:pPr>
            <w:r>
              <w:rPr>
                <w:b/>
              </w:rPr>
              <w:t>Final Budget 2021</w:t>
            </w:r>
          </w:p>
        </w:tc>
      </w:tr>
      <w:tr>
        <w:trPr>
          <w:trHeight w:val="256" w:hRule="atLeast"/>
        </w:trPr>
        <w:tc>
          <w:tcPr>
            <w:tcW w:w="3694" w:type="dxa"/>
            <w:tcBorders/>
            <w:vAlign w:val="bottom"/>
          </w:tcPr>
          <w:p>
            <w:pPr>
              <w:pStyle w:val="Normal"/>
              <w:widowControl w:val="false"/>
              <w:tabs>
                <w:tab w:val="clear" w:pos="709"/>
              </w:tabs>
              <w:bidi w:val="0"/>
              <w:jc w:val="left"/>
              <w:rPr/>
            </w:pPr>
            <w:r>
              <w:rPr/>
              <w:t>Personal Services</w:t>
            </w:r>
          </w:p>
        </w:tc>
        <w:tc>
          <w:tcPr>
            <w:tcW w:w="2249" w:type="dxa"/>
            <w:tcBorders/>
            <w:vAlign w:val="bottom"/>
          </w:tcPr>
          <w:p>
            <w:pPr>
              <w:pStyle w:val="Normal"/>
              <w:widowControl w:val="false"/>
              <w:tabs>
                <w:tab w:val="clear" w:pos="709"/>
              </w:tabs>
              <w:bidi w:val="0"/>
              <w:jc w:val="right"/>
              <w:rPr/>
            </w:pPr>
            <w:r>
              <w:rPr/>
              <w:t>$1,262,243</w:t>
            </w:r>
          </w:p>
        </w:tc>
      </w:tr>
      <w:tr>
        <w:trPr>
          <w:trHeight w:val="256" w:hRule="atLeast"/>
        </w:trPr>
        <w:tc>
          <w:tcPr>
            <w:tcW w:w="3694" w:type="dxa"/>
            <w:tcBorders/>
            <w:vAlign w:val="bottom"/>
          </w:tcPr>
          <w:p>
            <w:pPr>
              <w:pStyle w:val="Normal"/>
              <w:widowControl w:val="false"/>
              <w:tabs>
                <w:tab w:val="clear" w:pos="709"/>
              </w:tabs>
              <w:bidi w:val="0"/>
              <w:jc w:val="left"/>
              <w:rPr/>
            </w:pPr>
            <w:r>
              <w:rPr/>
              <w:t>Operating Services</w:t>
            </w:r>
          </w:p>
        </w:tc>
        <w:tc>
          <w:tcPr>
            <w:tcW w:w="2249" w:type="dxa"/>
            <w:tcBorders/>
            <w:vAlign w:val="bottom"/>
          </w:tcPr>
          <w:p>
            <w:pPr>
              <w:pStyle w:val="Normal"/>
              <w:widowControl w:val="false"/>
              <w:tabs>
                <w:tab w:val="clear" w:pos="709"/>
              </w:tabs>
              <w:bidi w:val="0"/>
              <w:jc w:val="right"/>
              <w:rPr/>
            </w:pPr>
            <w:r>
              <w:rPr/>
              <w:t>$162,373</w:t>
            </w:r>
          </w:p>
        </w:tc>
      </w:tr>
      <w:tr>
        <w:trPr>
          <w:trHeight w:val="256" w:hRule="atLeast"/>
        </w:trPr>
        <w:tc>
          <w:tcPr>
            <w:tcW w:w="3694" w:type="dxa"/>
            <w:tcBorders/>
            <w:vAlign w:val="bottom"/>
          </w:tcPr>
          <w:p>
            <w:pPr>
              <w:pStyle w:val="Normal"/>
              <w:widowControl w:val="false"/>
              <w:tabs>
                <w:tab w:val="clear" w:pos="709"/>
              </w:tabs>
              <w:bidi w:val="0"/>
              <w:jc w:val="left"/>
              <w:rPr/>
            </w:pPr>
            <w:r>
              <w:rPr/>
              <w:t>Materials &amp; Supplies</w:t>
            </w:r>
          </w:p>
        </w:tc>
        <w:tc>
          <w:tcPr>
            <w:tcW w:w="2249" w:type="dxa"/>
            <w:tcBorders/>
            <w:vAlign w:val="bottom"/>
          </w:tcPr>
          <w:p>
            <w:pPr>
              <w:pStyle w:val="Normal"/>
              <w:widowControl w:val="false"/>
              <w:tabs>
                <w:tab w:val="clear" w:pos="709"/>
              </w:tabs>
              <w:bidi w:val="0"/>
              <w:jc w:val="right"/>
              <w:rPr/>
            </w:pPr>
            <w:r>
              <w:rPr/>
              <w:t>$38,152</w:t>
            </w:r>
          </w:p>
        </w:tc>
      </w:tr>
      <w:tr>
        <w:trPr>
          <w:trHeight w:val="256" w:hRule="atLeast"/>
        </w:trPr>
        <w:tc>
          <w:tcPr>
            <w:tcW w:w="3694" w:type="dxa"/>
            <w:tcBorders/>
            <w:vAlign w:val="bottom"/>
          </w:tcPr>
          <w:p>
            <w:pPr>
              <w:pStyle w:val="Normal"/>
              <w:widowControl w:val="false"/>
              <w:tabs>
                <w:tab w:val="clear" w:pos="709"/>
              </w:tabs>
              <w:bidi w:val="0"/>
              <w:jc w:val="left"/>
              <w:rPr/>
            </w:pPr>
            <w:r>
              <w:rPr/>
              <w:t>Library Materials</w:t>
            </w:r>
          </w:p>
        </w:tc>
        <w:tc>
          <w:tcPr>
            <w:tcW w:w="2249" w:type="dxa"/>
            <w:tcBorders/>
            <w:vAlign w:val="bottom"/>
          </w:tcPr>
          <w:p>
            <w:pPr>
              <w:pStyle w:val="Normal"/>
              <w:widowControl w:val="false"/>
              <w:tabs>
                <w:tab w:val="clear" w:pos="709"/>
              </w:tabs>
              <w:bidi w:val="0"/>
              <w:jc w:val="right"/>
              <w:rPr/>
            </w:pPr>
            <w:r>
              <w:rPr/>
              <w:t>$237,764</w:t>
            </w:r>
          </w:p>
        </w:tc>
      </w:tr>
      <w:tr>
        <w:trPr>
          <w:trHeight w:val="256" w:hRule="atLeast"/>
        </w:trPr>
        <w:tc>
          <w:tcPr>
            <w:tcW w:w="3694" w:type="dxa"/>
            <w:tcBorders/>
            <w:vAlign w:val="bottom"/>
          </w:tcPr>
          <w:p>
            <w:pPr>
              <w:pStyle w:val="Normal"/>
              <w:widowControl w:val="false"/>
              <w:tabs>
                <w:tab w:val="clear" w:pos="709"/>
              </w:tabs>
              <w:bidi w:val="0"/>
              <w:jc w:val="left"/>
              <w:rPr/>
            </w:pPr>
            <w:r>
              <w:rPr/>
              <w:t>Equip.  &amp; Furnishings</w:t>
            </w:r>
          </w:p>
        </w:tc>
        <w:tc>
          <w:tcPr>
            <w:tcW w:w="2249" w:type="dxa"/>
            <w:tcBorders/>
            <w:vAlign w:val="bottom"/>
          </w:tcPr>
          <w:p>
            <w:pPr>
              <w:pStyle w:val="Normal"/>
              <w:widowControl w:val="false"/>
              <w:tabs>
                <w:tab w:val="clear" w:pos="709"/>
              </w:tabs>
              <w:bidi w:val="0"/>
              <w:jc w:val="right"/>
              <w:rPr/>
            </w:pPr>
            <w:r>
              <w:rPr/>
              <w:t>$5,354</w:t>
            </w:r>
          </w:p>
        </w:tc>
      </w:tr>
      <w:tr>
        <w:trPr>
          <w:trHeight w:val="256" w:hRule="atLeast"/>
        </w:trPr>
        <w:tc>
          <w:tcPr>
            <w:tcW w:w="3694" w:type="dxa"/>
            <w:tcBorders/>
            <w:vAlign w:val="bottom"/>
          </w:tcPr>
          <w:p>
            <w:pPr>
              <w:pStyle w:val="Normal"/>
              <w:widowControl w:val="false"/>
              <w:tabs>
                <w:tab w:val="clear" w:pos="709"/>
              </w:tabs>
              <w:bidi w:val="0"/>
              <w:jc w:val="left"/>
              <w:rPr/>
            </w:pPr>
            <w:r>
              <w:rPr/>
              <w:t>Training, Ed. &amp; Travel.</w:t>
            </w:r>
          </w:p>
        </w:tc>
        <w:tc>
          <w:tcPr>
            <w:tcW w:w="2249" w:type="dxa"/>
            <w:tcBorders/>
            <w:vAlign w:val="bottom"/>
          </w:tcPr>
          <w:p>
            <w:pPr>
              <w:pStyle w:val="Normal"/>
              <w:widowControl w:val="false"/>
              <w:tabs>
                <w:tab w:val="clear" w:pos="709"/>
              </w:tabs>
              <w:bidi w:val="0"/>
              <w:jc w:val="right"/>
              <w:rPr/>
            </w:pPr>
            <w:r>
              <w:rPr/>
              <w:t>$13,357</w:t>
            </w:r>
          </w:p>
        </w:tc>
      </w:tr>
      <w:tr>
        <w:trPr>
          <w:trHeight w:val="256" w:hRule="atLeast"/>
        </w:trPr>
        <w:tc>
          <w:tcPr>
            <w:tcW w:w="3694" w:type="dxa"/>
            <w:tcBorders/>
            <w:vAlign w:val="bottom"/>
          </w:tcPr>
          <w:p>
            <w:pPr>
              <w:pStyle w:val="Normal"/>
              <w:widowControl w:val="false"/>
              <w:tabs>
                <w:tab w:val="clear" w:pos="709"/>
              </w:tabs>
              <w:bidi w:val="0"/>
              <w:jc w:val="left"/>
              <w:rPr/>
            </w:pPr>
            <w:r>
              <w:rPr/>
              <w:t>Intergovernmental</w:t>
            </w:r>
          </w:p>
        </w:tc>
        <w:tc>
          <w:tcPr>
            <w:tcW w:w="2249" w:type="dxa"/>
            <w:tcBorders/>
            <w:vAlign w:val="bottom"/>
          </w:tcPr>
          <w:p>
            <w:pPr>
              <w:pStyle w:val="Normal"/>
              <w:widowControl w:val="false"/>
              <w:tabs>
                <w:tab w:val="clear" w:pos="709"/>
              </w:tabs>
              <w:bidi w:val="0"/>
              <w:jc w:val="right"/>
              <w:rPr/>
            </w:pPr>
            <w:r>
              <w:rPr/>
              <w:t>$76,266</w:t>
            </w:r>
          </w:p>
        </w:tc>
      </w:tr>
      <w:tr>
        <w:trPr>
          <w:trHeight w:val="256" w:hRule="atLeast"/>
        </w:trPr>
        <w:tc>
          <w:tcPr>
            <w:tcW w:w="3694" w:type="dxa"/>
            <w:tcBorders/>
            <w:vAlign w:val="bottom"/>
          </w:tcPr>
          <w:p>
            <w:pPr>
              <w:pStyle w:val="Normal"/>
              <w:widowControl w:val="false"/>
              <w:tabs>
                <w:tab w:val="clear" w:pos="709"/>
              </w:tabs>
              <w:bidi w:val="0"/>
              <w:jc w:val="left"/>
              <w:rPr>
                <w:b/>
                <w:b/>
              </w:rPr>
            </w:pPr>
            <w:r>
              <w:rPr>
                <w:b/>
              </w:rPr>
              <w:t>DESIGNATED FUNDS EXPENSE</w:t>
            </w:r>
          </w:p>
        </w:tc>
        <w:tc>
          <w:tcPr>
            <w:tcW w:w="2249" w:type="dxa"/>
            <w:tcBorders/>
            <w:vAlign w:val="bottom"/>
          </w:tcPr>
          <w:p>
            <w:pPr>
              <w:pStyle w:val="Normal"/>
              <w:widowControl w:val="false"/>
              <w:tabs>
                <w:tab w:val="clear" w:pos="709"/>
              </w:tabs>
              <w:bidi w:val="0"/>
              <w:jc w:val="left"/>
              <w:rPr/>
            </w:pPr>
            <w:r>
              <w:rPr/>
            </w:r>
          </w:p>
        </w:tc>
      </w:tr>
      <w:tr>
        <w:trPr>
          <w:trHeight w:val="256" w:hRule="atLeast"/>
        </w:trPr>
        <w:tc>
          <w:tcPr>
            <w:tcW w:w="3694" w:type="dxa"/>
            <w:tcBorders/>
            <w:vAlign w:val="bottom"/>
          </w:tcPr>
          <w:p>
            <w:pPr>
              <w:pStyle w:val="Normal"/>
              <w:widowControl w:val="false"/>
              <w:tabs>
                <w:tab w:val="clear" w:pos="709"/>
              </w:tabs>
              <w:bidi w:val="0"/>
              <w:jc w:val="left"/>
              <w:rPr/>
            </w:pPr>
            <w:r>
              <w:rPr/>
              <w:t>Grant Match</w:t>
            </w:r>
          </w:p>
        </w:tc>
        <w:tc>
          <w:tcPr>
            <w:tcW w:w="2249" w:type="dxa"/>
            <w:tcBorders/>
            <w:vAlign w:val="bottom"/>
          </w:tcPr>
          <w:p>
            <w:pPr>
              <w:pStyle w:val="Normal"/>
              <w:widowControl w:val="false"/>
              <w:tabs>
                <w:tab w:val="clear" w:pos="709"/>
              </w:tabs>
              <w:bidi w:val="0"/>
              <w:jc w:val="right"/>
              <w:rPr/>
            </w:pPr>
            <w:r>
              <w:rPr/>
              <w:t>$0</w:t>
            </w:r>
          </w:p>
        </w:tc>
      </w:tr>
      <w:tr>
        <w:trPr>
          <w:trHeight w:val="256" w:hRule="atLeast"/>
        </w:trPr>
        <w:tc>
          <w:tcPr>
            <w:tcW w:w="3694" w:type="dxa"/>
            <w:tcBorders/>
            <w:vAlign w:val="bottom"/>
          </w:tcPr>
          <w:p>
            <w:pPr>
              <w:pStyle w:val="Normal"/>
              <w:widowControl w:val="false"/>
              <w:tabs>
                <w:tab w:val="clear" w:pos="709"/>
              </w:tabs>
              <w:bidi w:val="0"/>
              <w:jc w:val="left"/>
              <w:rPr/>
            </w:pPr>
            <w:r>
              <w:rPr/>
              <w:t>Bld/Asset, Repair/Replace</w:t>
            </w:r>
          </w:p>
        </w:tc>
        <w:tc>
          <w:tcPr>
            <w:tcW w:w="2249" w:type="dxa"/>
            <w:tcBorders/>
            <w:vAlign w:val="bottom"/>
          </w:tcPr>
          <w:p>
            <w:pPr>
              <w:pStyle w:val="Normal"/>
              <w:widowControl w:val="false"/>
              <w:tabs>
                <w:tab w:val="clear" w:pos="709"/>
              </w:tabs>
              <w:bidi w:val="0"/>
              <w:jc w:val="right"/>
              <w:rPr/>
            </w:pPr>
            <w:r>
              <w:rPr/>
              <w:t>$34,509</w:t>
            </w:r>
          </w:p>
        </w:tc>
      </w:tr>
      <w:tr>
        <w:trPr>
          <w:trHeight w:val="256" w:hRule="atLeast"/>
        </w:trPr>
        <w:tc>
          <w:tcPr>
            <w:tcW w:w="3694" w:type="dxa"/>
            <w:tcBorders/>
            <w:vAlign w:val="bottom"/>
          </w:tcPr>
          <w:p>
            <w:pPr>
              <w:pStyle w:val="Normal"/>
              <w:widowControl w:val="false"/>
              <w:tabs>
                <w:tab w:val="clear" w:pos="709"/>
              </w:tabs>
              <w:bidi w:val="0"/>
              <w:jc w:val="left"/>
              <w:rPr/>
            </w:pPr>
            <w:r>
              <w:rPr/>
              <w:t>EB Capital Expense</w:t>
            </w:r>
          </w:p>
        </w:tc>
        <w:tc>
          <w:tcPr>
            <w:tcW w:w="2249" w:type="dxa"/>
            <w:tcBorders/>
            <w:vAlign w:val="bottom"/>
          </w:tcPr>
          <w:p>
            <w:pPr>
              <w:pStyle w:val="Normal"/>
              <w:widowControl w:val="false"/>
              <w:tabs>
                <w:tab w:val="clear" w:pos="709"/>
              </w:tabs>
              <w:bidi w:val="0"/>
              <w:jc w:val="right"/>
              <w:rPr/>
            </w:pPr>
            <w:r>
              <w:rPr/>
              <w:t>$0</w:t>
            </w:r>
          </w:p>
        </w:tc>
      </w:tr>
      <w:tr>
        <w:trPr>
          <w:trHeight w:val="256" w:hRule="atLeast"/>
        </w:trPr>
        <w:tc>
          <w:tcPr>
            <w:tcW w:w="3694" w:type="dxa"/>
            <w:tcBorders/>
            <w:vAlign w:val="bottom"/>
          </w:tcPr>
          <w:p>
            <w:pPr>
              <w:pStyle w:val="Normal"/>
              <w:widowControl w:val="false"/>
              <w:tabs>
                <w:tab w:val="clear" w:pos="709"/>
              </w:tabs>
              <w:bidi w:val="0"/>
              <w:jc w:val="left"/>
              <w:rPr/>
            </w:pPr>
            <w:r>
              <w:rPr/>
              <w:t>SB Capital Expense</w:t>
            </w:r>
          </w:p>
        </w:tc>
        <w:tc>
          <w:tcPr>
            <w:tcW w:w="2249" w:type="dxa"/>
            <w:tcBorders/>
            <w:vAlign w:val="bottom"/>
          </w:tcPr>
          <w:p>
            <w:pPr>
              <w:pStyle w:val="Normal"/>
              <w:widowControl w:val="false"/>
              <w:tabs>
                <w:tab w:val="clear" w:pos="709"/>
              </w:tabs>
              <w:bidi w:val="0"/>
              <w:jc w:val="right"/>
              <w:rPr/>
            </w:pPr>
            <w:r>
              <w:rPr/>
              <w:t>$0</w:t>
            </w:r>
          </w:p>
        </w:tc>
      </w:tr>
      <w:tr>
        <w:trPr>
          <w:trHeight w:val="256" w:hRule="atLeast"/>
        </w:trPr>
        <w:tc>
          <w:tcPr>
            <w:tcW w:w="3694" w:type="dxa"/>
            <w:tcBorders/>
            <w:vAlign w:val="bottom"/>
          </w:tcPr>
          <w:p>
            <w:pPr>
              <w:pStyle w:val="Normal"/>
              <w:widowControl w:val="false"/>
              <w:tabs>
                <w:tab w:val="clear" w:pos="709"/>
              </w:tabs>
              <w:bidi w:val="0"/>
              <w:jc w:val="left"/>
              <w:rPr/>
            </w:pPr>
            <w:r>
              <w:rPr/>
              <w:t>Singer Capital Expense</w:t>
            </w:r>
          </w:p>
        </w:tc>
        <w:tc>
          <w:tcPr>
            <w:tcW w:w="2249" w:type="dxa"/>
            <w:tcBorders/>
            <w:vAlign w:val="bottom"/>
          </w:tcPr>
          <w:p>
            <w:pPr>
              <w:pStyle w:val="Normal"/>
              <w:widowControl w:val="false"/>
              <w:tabs>
                <w:tab w:val="clear" w:pos="709"/>
              </w:tabs>
              <w:bidi w:val="0"/>
              <w:jc w:val="right"/>
              <w:rPr/>
            </w:pPr>
            <w:r>
              <w:rPr/>
              <w:t>$236,017</w:t>
            </w:r>
          </w:p>
        </w:tc>
      </w:tr>
      <w:tr>
        <w:trPr>
          <w:trHeight w:val="256" w:hRule="atLeast"/>
        </w:trPr>
        <w:tc>
          <w:tcPr>
            <w:tcW w:w="3694" w:type="dxa"/>
            <w:tcBorders/>
            <w:vAlign w:val="bottom"/>
          </w:tcPr>
          <w:p>
            <w:pPr>
              <w:pStyle w:val="Normal"/>
              <w:widowControl w:val="false"/>
              <w:tabs>
                <w:tab w:val="clear" w:pos="709"/>
              </w:tabs>
              <w:bidi w:val="0"/>
              <w:jc w:val="left"/>
              <w:rPr/>
            </w:pPr>
            <w:r>
              <w:rPr/>
              <w:t>Hillman Fund</w:t>
            </w:r>
          </w:p>
        </w:tc>
        <w:tc>
          <w:tcPr>
            <w:tcW w:w="2249" w:type="dxa"/>
            <w:tcBorders/>
            <w:vAlign w:val="bottom"/>
          </w:tcPr>
          <w:p>
            <w:pPr>
              <w:pStyle w:val="Normal"/>
              <w:widowControl w:val="false"/>
              <w:tabs>
                <w:tab w:val="clear" w:pos="709"/>
              </w:tabs>
              <w:bidi w:val="0"/>
              <w:jc w:val="right"/>
              <w:rPr/>
            </w:pPr>
            <w:r>
              <w:rPr/>
              <w:t>$0</w:t>
            </w:r>
          </w:p>
        </w:tc>
      </w:tr>
      <w:tr>
        <w:trPr>
          <w:trHeight w:val="256" w:hRule="atLeast"/>
        </w:trPr>
        <w:tc>
          <w:tcPr>
            <w:tcW w:w="3694" w:type="dxa"/>
            <w:tcBorders/>
            <w:vAlign w:val="bottom"/>
          </w:tcPr>
          <w:p>
            <w:pPr>
              <w:pStyle w:val="Normal"/>
              <w:widowControl w:val="false"/>
              <w:tabs>
                <w:tab w:val="clear" w:pos="709"/>
              </w:tabs>
              <w:bidi w:val="0"/>
              <w:jc w:val="left"/>
              <w:rPr/>
            </w:pPr>
            <w:r>
              <w:rPr/>
              <w:t>McElvin Bequest</w:t>
            </w:r>
          </w:p>
        </w:tc>
        <w:tc>
          <w:tcPr>
            <w:tcW w:w="2249" w:type="dxa"/>
            <w:tcBorders/>
            <w:vAlign w:val="bottom"/>
          </w:tcPr>
          <w:p>
            <w:pPr>
              <w:pStyle w:val="Normal"/>
              <w:widowControl w:val="false"/>
              <w:tabs>
                <w:tab w:val="clear" w:pos="709"/>
              </w:tabs>
              <w:bidi w:val="0"/>
              <w:jc w:val="right"/>
              <w:rPr/>
            </w:pPr>
            <w:r>
              <w:rPr/>
              <w:t>$0</w:t>
            </w:r>
          </w:p>
        </w:tc>
      </w:tr>
      <w:tr>
        <w:trPr>
          <w:trHeight w:val="256" w:hRule="atLeast"/>
        </w:trPr>
        <w:tc>
          <w:tcPr>
            <w:tcW w:w="3694" w:type="dxa"/>
            <w:tcBorders/>
            <w:vAlign w:val="bottom"/>
          </w:tcPr>
          <w:p>
            <w:pPr>
              <w:pStyle w:val="Normal"/>
              <w:widowControl w:val="false"/>
              <w:tabs>
                <w:tab w:val="clear" w:pos="709"/>
              </w:tabs>
              <w:bidi w:val="0"/>
              <w:jc w:val="left"/>
              <w:rPr/>
            </w:pPr>
            <w:r>
              <w:rPr/>
              <w:t>75th Anniversary</w:t>
            </w:r>
          </w:p>
        </w:tc>
        <w:tc>
          <w:tcPr>
            <w:tcW w:w="2249" w:type="dxa"/>
            <w:tcBorders/>
            <w:vAlign w:val="bottom"/>
          </w:tcPr>
          <w:p>
            <w:pPr>
              <w:pStyle w:val="Normal"/>
              <w:widowControl w:val="false"/>
              <w:tabs>
                <w:tab w:val="clear" w:pos="709"/>
              </w:tabs>
              <w:bidi w:val="0"/>
              <w:jc w:val="right"/>
              <w:rPr/>
            </w:pPr>
            <w:r>
              <w:rPr/>
              <w:t>$9,441</w:t>
            </w:r>
          </w:p>
        </w:tc>
      </w:tr>
      <w:tr>
        <w:trPr>
          <w:trHeight w:val="256" w:hRule="atLeast"/>
        </w:trPr>
        <w:tc>
          <w:tcPr>
            <w:tcW w:w="3694" w:type="dxa"/>
            <w:tcBorders/>
            <w:vAlign w:val="bottom"/>
          </w:tcPr>
          <w:p>
            <w:pPr>
              <w:pStyle w:val="Normal"/>
              <w:widowControl w:val="false"/>
              <w:tabs>
                <w:tab w:val="clear" w:pos="709"/>
              </w:tabs>
              <w:bidi w:val="0"/>
              <w:jc w:val="left"/>
              <w:rPr/>
            </w:pPr>
            <w:r>
              <w:rPr/>
              <w:t>FEMA Expense</w:t>
            </w:r>
          </w:p>
        </w:tc>
        <w:tc>
          <w:tcPr>
            <w:tcW w:w="2249" w:type="dxa"/>
            <w:tcBorders/>
            <w:vAlign w:val="bottom"/>
          </w:tcPr>
          <w:p>
            <w:pPr>
              <w:pStyle w:val="Normal"/>
              <w:widowControl w:val="false"/>
              <w:tabs>
                <w:tab w:val="clear" w:pos="709"/>
              </w:tabs>
              <w:bidi w:val="0"/>
              <w:jc w:val="right"/>
              <w:rPr/>
            </w:pPr>
            <w:r>
              <w:rPr/>
              <w:t>$93,027</w:t>
            </w:r>
          </w:p>
        </w:tc>
      </w:tr>
      <w:tr>
        <w:trPr>
          <w:trHeight w:val="256" w:hRule="atLeast"/>
        </w:trPr>
        <w:tc>
          <w:tcPr>
            <w:tcW w:w="3694" w:type="dxa"/>
            <w:tcBorders/>
            <w:vAlign w:val="bottom"/>
          </w:tcPr>
          <w:p>
            <w:pPr>
              <w:pStyle w:val="Normal"/>
              <w:widowControl w:val="false"/>
              <w:tabs>
                <w:tab w:val="clear" w:pos="709"/>
              </w:tabs>
              <w:bidi w:val="0"/>
              <w:jc w:val="left"/>
              <w:rPr/>
            </w:pPr>
            <w:r>
              <w:rPr/>
              <w:t>Rotary Grant Expense</w:t>
            </w:r>
          </w:p>
        </w:tc>
        <w:tc>
          <w:tcPr>
            <w:tcW w:w="2249" w:type="dxa"/>
            <w:tcBorders/>
            <w:vAlign w:val="bottom"/>
          </w:tcPr>
          <w:p>
            <w:pPr>
              <w:pStyle w:val="Normal"/>
              <w:widowControl w:val="false"/>
              <w:tabs>
                <w:tab w:val="clear" w:pos="709"/>
              </w:tabs>
              <w:bidi w:val="0"/>
              <w:jc w:val="right"/>
              <w:rPr/>
            </w:pPr>
            <w:r>
              <w:rPr/>
              <w:t>$383</w:t>
            </w:r>
          </w:p>
        </w:tc>
      </w:tr>
      <w:tr>
        <w:trPr>
          <w:trHeight w:val="256" w:hRule="atLeast"/>
        </w:trPr>
        <w:tc>
          <w:tcPr>
            <w:tcW w:w="3694" w:type="dxa"/>
            <w:tcBorders/>
            <w:vAlign w:val="bottom"/>
          </w:tcPr>
          <w:p>
            <w:pPr>
              <w:pStyle w:val="Normal"/>
              <w:widowControl w:val="false"/>
              <w:tabs>
                <w:tab w:val="clear" w:pos="709"/>
              </w:tabs>
              <w:bidi w:val="0"/>
              <w:jc w:val="left"/>
              <w:rPr/>
            </w:pPr>
            <w:r>
              <w:rPr/>
              <w:t>ARPA Expense</w:t>
            </w:r>
          </w:p>
        </w:tc>
        <w:tc>
          <w:tcPr>
            <w:tcW w:w="2249" w:type="dxa"/>
            <w:tcBorders/>
            <w:vAlign w:val="bottom"/>
          </w:tcPr>
          <w:p>
            <w:pPr>
              <w:pStyle w:val="Normal"/>
              <w:widowControl w:val="false"/>
              <w:tabs>
                <w:tab w:val="clear" w:pos="709"/>
              </w:tabs>
              <w:bidi w:val="0"/>
              <w:jc w:val="right"/>
              <w:rPr/>
            </w:pPr>
            <w:r>
              <w:rPr/>
              <w:t>$43,577</w:t>
            </w:r>
          </w:p>
        </w:tc>
      </w:tr>
      <w:tr>
        <w:trPr>
          <w:trHeight w:val="256" w:hRule="atLeast"/>
        </w:trPr>
        <w:tc>
          <w:tcPr>
            <w:tcW w:w="3694" w:type="dxa"/>
            <w:tcBorders/>
            <w:vAlign w:val="bottom"/>
          </w:tcPr>
          <w:p>
            <w:pPr>
              <w:pStyle w:val="Normal"/>
              <w:widowControl w:val="false"/>
              <w:tabs>
                <w:tab w:val="clear" w:pos="709"/>
              </w:tabs>
              <w:bidi w:val="0"/>
              <w:jc w:val="left"/>
              <w:rPr/>
            </w:pPr>
            <w:r>
              <w:rPr/>
              <w:t>Total</w:t>
            </w:r>
          </w:p>
        </w:tc>
        <w:tc>
          <w:tcPr>
            <w:tcW w:w="2249" w:type="dxa"/>
            <w:tcBorders/>
            <w:vAlign w:val="bottom"/>
          </w:tcPr>
          <w:p>
            <w:pPr>
              <w:pStyle w:val="Normal"/>
              <w:widowControl w:val="false"/>
              <w:tabs>
                <w:tab w:val="clear" w:pos="709"/>
              </w:tabs>
              <w:bidi w:val="0"/>
              <w:jc w:val="right"/>
              <w:rPr/>
            </w:pPr>
            <w:r>
              <w:rPr/>
              <w:t>$2,212,463</w:t>
            </w:r>
          </w:p>
        </w:tc>
      </w:tr>
    </w:tbl>
    <w:p>
      <w:pPr>
        <w:pStyle w:val="Normal"/>
        <w:bidi w:val="0"/>
        <w:jc w:val="left"/>
        <w:rPr>
          <w:rFonts w:ascii="Liberation Serif" w:hAnsi="Liberation Serif"/>
          <w:b w:val="false"/>
          <w:b w:val="false"/>
          <w:bCs w:val="false"/>
          <w:sz w:val="24"/>
          <w:szCs w:val="24"/>
        </w:rPr>
      </w:pPr>
      <w:r>
        <w:rPr>
          <w:rFonts w:ascii="Liberation Serif" w:hAnsi="Liberation Serif"/>
          <w:b w:val="false"/>
          <w:bCs w:val="false"/>
          <w:sz w:val="24"/>
          <w:szCs w:val="24"/>
        </w:rPr>
      </w:r>
    </w:p>
    <w:tbl>
      <w:tblPr>
        <w:tblW w:w="4594" w:type="dxa"/>
        <w:jc w:val="left"/>
        <w:tblInd w:w="-60" w:type="dxa"/>
        <w:tblLayout w:type="fixed"/>
        <w:tblCellMar>
          <w:top w:w="0" w:type="dxa"/>
          <w:left w:w="30" w:type="dxa"/>
          <w:bottom w:w="0" w:type="dxa"/>
          <w:right w:w="30" w:type="dxa"/>
        </w:tblCellMar>
      </w:tblPr>
      <w:tblGrid>
        <w:gridCol w:w="2971"/>
        <w:gridCol w:w="1622"/>
      </w:tblGrid>
      <w:tr>
        <w:trPr>
          <w:trHeight w:val="256" w:hRule="atLeast"/>
        </w:trPr>
        <w:tc>
          <w:tcPr>
            <w:tcW w:w="4593" w:type="dxa"/>
            <w:gridSpan w:val="2"/>
            <w:tcBorders/>
            <w:vAlign w:val="center"/>
          </w:tcPr>
          <w:p>
            <w:pPr>
              <w:pStyle w:val="Normal"/>
              <w:widowControl w:val="false"/>
              <w:tabs>
                <w:tab w:val="clear" w:pos="709"/>
              </w:tabs>
              <w:bidi w:val="0"/>
              <w:jc w:val="center"/>
              <w:rPr>
                <w:b/>
                <w:b/>
              </w:rPr>
            </w:pPr>
            <w:r>
              <w:rPr>
                <w:b/>
              </w:rPr>
              <w:t>2021 Fund Balances</w:t>
            </w:r>
          </w:p>
        </w:tc>
      </w:tr>
      <w:tr>
        <w:trPr>
          <w:trHeight w:val="256" w:hRule="atLeast"/>
        </w:trPr>
        <w:tc>
          <w:tcPr>
            <w:tcW w:w="2971" w:type="dxa"/>
            <w:tcBorders/>
            <w:vAlign w:val="bottom"/>
          </w:tcPr>
          <w:p>
            <w:pPr>
              <w:pStyle w:val="Normal"/>
              <w:widowControl w:val="false"/>
              <w:tabs>
                <w:tab w:val="clear" w:pos="709"/>
              </w:tabs>
              <w:bidi w:val="0"/>
              <w:jc w:val="left"/>
              <w:rPr/>
            </w:pPr>
            <w:r>
              <w:rPr/>
              <w:t>Beginning Fund Balance</w:t>
            </w:r>
          </w:p>
        </w:tc>
        <w:tc>
          <w:tcPr>
            <w:tcW w:w="1622" w:type="dxa"/>
            <w:tcBorders/>
            <w:vAlign w:val="bottom"/>
          </w:tcPr>
          <w:p>
            <w:pPr>
              <w:pStyle w:val="Normal"/>
              <w:widowControl w:val="false"/>
              <w:tabs>
                <w:tab w:val="clear" w:pos="709"/>
              </w:tabs>
              <w:bidi w:val="0"/>
              <w:jc w:val="right"/>
              <w:rPr>
                <w:b/>
                <w:b/>
                <w:bCs/>
              </w:rPr>
            </w:pPr>
            <w:r>
              <w:rPr>
                <w:b/>
                <w:bCs/>
              </w:rPr>
              <w:t>$7,478,761</w:t>
            </w:r>
          </w:p>
        </w:tc>
      </w:tr>
      <w:tr>
        <w:trPr>
          <w:trHeight w:val="256" w:hRule="atLeast"/>
        </w:trPr>
        <w:tc>
          <w:tcPr>
            <w:tcW w:w="2971" w:type="dxa"/>
            <w:tcBorders/>
            <w:vAlign w:val="bottom"/>
          </w:tcPr>
          <w:p>
            <w:pPr>
              <w:pStyle w:val="Normal"/>
              <w:widowControl w:val="false"/>
              <w:tabs>
                <w:tab w:val="clear" w:pos="709"/>
              </w:tabs>
              <w:bidi w:val="0"/>
              <w:jc w:val="left"/>
              <w:rPr/>
            </w:pPr>
            <w:r>
              <w:rPr/>
              <w:t>2021 Revenues</w:t>
            </w:r>
          </w:p>
        </w:tc>
        <w:tc>
          <w:tcPr>
            <w:tcW w:w="1622" w:type="dxa"/>
            <w:tcBorders/>
            <w:vAlign w:val="bottom"/>
          </w:tcPr>
          <w:p>
            <w:pPr>
              <w:pStyle w:val="Normal"/>
              <w:widowControl w:val="false"/>
              <w:tabs>
                <w:tab w:val="clear" w:pos="709"/>
              </w:tabs>
              <w:bidi w:val="0"/>
              <w:jc w:val="right"/>
              <w:rPr/>
            </w:pPr>
            <w:r>
              <w:rPr/>
              <w:t>$2,373,590</w:t>
            </w:r>
          </w:p>
        </w:tc>
      </w:tr>
      <w:tr>
        <w:trPr>
          <w:trHeight w:val="256" w:hRule="atLeast"/>
        </w:trPr>
        <w:tc>
          <w:tcPr>
            <w:tcW w:w="2971" w:type="dxa"/>
            <w:tcBorders/>
            <w:vAlign w:val="bottom"/>
          </w:tcPr>
          <w:p>
            <w:pPr>
              <w:pStyle w:val="Normal"/>
              <w:widowControl w:val="false"/>
              <w:tabs>
                <w:tab w:val="clear" w:pos="709"/>
              </w:tabs>
              <w:bidi w:val="0"/>
              <w:jc w:val="left"/>
              <w:rPr/>
            </w:pPr>
            <w:r>
              <w:rPr/>
              <w:t>2021 Expenses</w:t>
            </w:r>
          </w:p>
        </w:tc>
        <w:tc>
          <w:tcPr>
            <w:tcW w:w="1622" w:type="dxa"/>
            <w:tcBorders/>
            <w:vAlign w:val="bottom"/>
          </w:tcPr>
          <w:p>
            <w:pPr>
              <w:pStyle w:val="Normal"/>
              <w:widowControl w:val="false"/>
              <w:tabs>
                <w:tab w:val="clear" w:pos="709"/>
              </w:tabs>
              <w:bidi w:val="0"/>
              <w:jc w:val="right"/>
              <w:rPr/>
            </w:pPr>
            <w:r>
              <w:rPr/>
              <w:t>-$2,212,463</w:t>
            </w:r>
          </w:p>
        </w:tc>
      </w:tr>
      <w:tr>
        <w:trPr>
          <w:trHeight w:val="256" w:hRule="atLeast"/>
        </w:trPr>
        <w:tc>
          <w:tcPr>
            <w:tcW w:w="2971" w:type="dxa"/>
            <w:tcBorders/>
            <w:vAlign w:val="bottom"/>
          </w:tcPr>
          <w:p>
            <w:pPr>
              <w:pStyle w:val="Normal"/>
              <w:widowControl w:val="false"/>
              <w:tabs>
                <w:tab w:val="clear" w:pos="709"/>
              </w:tabs>
              <w:bidi w:val="0"/>
              <w:jc w:val="left"/>
              <w:rPr/>
            </w:pPr>
            <w:r>
              <w:rPr/>
              <w:t>Ending Fund Balance</w:t>
            </w:r>
          </w:p>
        </w:tc>
        <w:tc>
          <w:tcPr>
            <w:tcW w:w="1622" w:type="dxa"/>
            <w:tcBorders/>
            <w:vAlign w:val="bottom"/>
          </w:tcPr>
          <w:p>
            <w:pPr>
              <w:pStyle w:val="Normal"/>
              <w:widowControl w:val="false"/>
              <w:tabs>
                <w:tab w:val="clear" w:pos="709"/>
              </w:tabs>
              <w:bidi w:val="0"/>
              <w:jc w:val="right"/>
              <w:rPr>
                <w:b/>
                <w:b/>
                <w:bCs/>
              </w:rPr>
            </w:pPr>
            <w:r>
              <w:rPr>
                <w:b/>
                <w:bCs/>
              </w:rPr>
              <w:t>$7,639,888</w:t>
            </w:r>
          </w:p>
        </w:tc>
      </w:tr>
      <w:tr>
        <w:trPr>
          <w:trHeight w:val="256" w:hRule="atLeast"/>
        </w:trPr>
        <w:tc>
          <w:tcPr>
            <w:tcW w:w="2971" w:type="dxa"/>
            <w:tcBorders/>
            <w:vAlign w:val="bottom"/>
          </w:tcPr>
          <w:p>
            <w:pPr>
              <w:pStyle w:val="Normal"/>
              <w:widowControl w:val="false"/>
              <w:tabs>
                <w:tab w:val="clear" w:pos="709"/>
              </w:tabs>
              <w:bidi w:val="0"/>
              <w:ind w:left="490" w:right="0" w:hanging="0"/>
              <w:jc w:val="left"/>
              <w:rPr>
                <w:i/>
                <w:i/>
              </w:rPr>
            </w:pPr>
            <w:r>
              <w:rPr>
                <w:i/>
              </w:rPr>
              <w:t>Designated in 2022</w:t>
            </w:r>
          </w:p>
        </w:tc>
        <w:tc>
          <w:tcPr>
            <w:tcW w:w="1622" w:type="dxa"/>
            <w:tcBorders/>
            <w:vAlign w:val="bottom"/>
          </w:tcPr>
          <w:p>
            <w:pPr>
              <w:pStyle w:val="Normal"/>
              <w:widowControl w:val="false"/>
              <w:tabs>
                <w:tab w:val="clear" w:pos="709"/>
              </w:tabs>
              <w:bidi w:val="0"/>
              <w:jc w:val="right"/>
              <w:rPr>
                <w:i/>
                <w:i/>
              </w:rPr>
            </w:pPr>
            <w:r>
              <w:rPr>
                <w:i/>
              </w:rPr>
              <w:t>$4,226,054</w:t>
            </w:r>
          </w:p>
        </w:tc>
      </w:tr>
      <w:tr>
        <w:trPr>
          <w:trHeight w:val="256" w:hRule="atLeast"/>
        </w:trPr>
        <w:tc>
          <w:tcPr>
            <w:tcW w:w="2971" w:type="dxa"/>
            <w:tcBorders/>
            <w:vAlign w:val="bottom"/>
          </w:tcPr>
          <w:p>
            <w:pPr>
              <w:pStyle w:val="Normal"/>
              <w:widowControl w:val="false"/>
              <w:tabs>
                <w:tab w:val="clear" w:pos="709"/>
              </w:tabs>
              <w:bidi w:val="0"/>
              <w:ind w:left="490" w:right="0" w:hanging="0"/>
              <w:jc w:val="left"/>
              <w:rPr>
                <w:i/>
                <w:i/>
              </w:rPr>
            </w:pPr>
            <w:r>
              <w:rPr>
                <w:i/>
              </w:rPr>
              <w:t>Undesignated in 2022</w:t>
            </w:r>
          </w:p>
        </w:tc>
        <w:tc>
          <w:tcPr>
            <w:tcW w:w="1622" w:type="dxa"/>
            <w:tcBorders/>
            <w:vAlign w:val="bottom"/>
          </w:tcPr>
          <w:p>
            <w:pPr>
              <w:pStyle w:val="Normal"/>
              <w:widowControl w:val="false"/>
              <w:tabs>
                <w:tab w:val="clear" w:pos="709"/>
              </w:tabs>
              <w:bidi w:val="0"/>
              <w:jc w:val="right"/>
              <w:rPr>
                <w:i/>
                <w:i/>
              </w:rPr>
            </w:pPr>
            <w:r>
              <w:rPr>
                <w:i/>
              </w:rPr>
              <w:t>$3,413,834</w:t>
            </w:r>
          </w:p>
        </w:tc>
      </w:tr>
    </w:tbl>
    <w:p>
      <w:pPr>
        <w:pStyle w:val="Normal"/>
        <w:numPr>
          <w:ilvl w:val="0"/>
          <w:numId w:val="0"/>
        </w:numPr>
        <w:bidi w:val="0"/>
        <w:ind w:left="720" w:hanging="0"/>
        <w:jc w:val="left"/>
        <w:rPr>
          <w:rFonts w:ascii="Liberation Serif" w:hAnsi="Liberation Serif"/>
          <w:b w:val="false"/>
          <w:b w:val="false"/>
          <w:bCs w:val="false"/>
          <w:sz w:val="24"/>
          <w:szCs w:val="24"/>
        </w:rPr>
      </w:pPr>
      <w:r>
        <w:rPr>
          <w:rFonts w:ascii="Liberation Serif" w:hAnsi="Liberation Serif"/>
          <w:b w:val="false"/>
          <w:bCs w:val="false"/>
          <w:sz w:val="24"/>
          <w:szCs w:val="24"/>
        </w:rPr>
      </w:r>
    </w:p>
    <w:p>
      <w:pPr>
        <w:pStyle w:val="Normal"/>
        <w:numPr>
          <w:ilvl w:val="0"/>
          <w:numId w:val="0"/>
        </w:numPr>
        <w:bidi w:val="0"/>
        <w:ind w:left="720" w:hanging="0"/>
        <w:jc w:val="left"/>
        <w:rPr>
          <w:rFonts w:ascii="Liberation Serif" w:hAnsi="Liberation Serif"/>
          <w:b w:val="false"/>
          <w:b w:val="false"/>
          <w:bCs w:val="false"/>
          <w:sz w:val="24"/>
          <w:szCs w:val="24"/>
        </w:rPr>
      </w:pPr>
      <w:r>
        <w:rPr>
          <w:rFonts w:ascii="Liberation Serif" w:hAnsi="Liberation Serif"/>
          <w:b w:val="false"/>
          <w:bCs w:val="false"/>
          <w:sz w:val="24"/>
          <w:szCs w:val="24"/>
        </w:rPr>
        <w:t>and the amendments for the FY 2022 budget are:</w:t>
      </w:r>
    </w:p>
    <w:p>
      <w:pPr>
        <w:pStyle w:val="Normal"/>
        <w:bidi w:val="0"/>
        <w:jc w:val="left"/>
        <w:rPr>
          <w:rFonts w:ascii="Liberation Serif" w:hAnsi="Liberation Serif"/>
          <w:b w:val="false"/>
          <w:b w:val="false"/>
          <w:bCs w:val="false"/>
          <w:sz w:val="24"/>
          <w:szCs w:val="24"/>
        </w:rPr>
      </w:pPr>
      <w:r>
        <w:rPr>
          <w:rFonts w:ascii="Liberation Serif" w:hAnsi="Liberation Serif"/>
          <w:b w:val="false"/>
          <w:bCs w:val="false"/>
          <w:sz w:val="24"/>
          <w:szCs w:val="24"/>
        </w:rPr>
        <w:t>2022 BARR  Designated Fund: $2,696,998</w:t>
      </w:r>
    </w:p>
    <w:p>
      <w:pPr>
        <w:pStyle w:val="Normal"/>
        <w:bidi w:val="0"/>
        <w:jc w:val="left"/>
        <w:rPr>
          <w:rFonts w:ascii="Liberation Serif" w:hAnsi="Liberation Serif"/>
          <w:b w:val="false"/>
          <w:b w:val="false"/>
          <w:bCs w:val="false"/>
          <w:sz w:val="24"/>
          <w:szCs w:val="24"/>
        </w:rPr>
      </w:pPr>
      <w:r>
        <w:rPr>
          <w:rFonts w:ascii="Liberation Serif" w:hAnsi="Liberation Serif"/>
          <w:b w:val="false"/>
          <w:bCs w:val="false"/>
          <w:sz w:val="24"/>
          <w:szCs w:val="24"/>
        </w:rPr>
        <w:t>2022 Singer CapEx Designated Fund: $193,983</w:t>
      </w:r>
    </w:p>
    <w:p>
      <w:pPr>
        <w:pStyle w:val="Normal"/>
        <w:bidi w:val="0"/>
        <w:jc w:val="left"/>
        <w:rPr>
          <w:rFonts w:ascii="Liberation Serif" w:hAnsi="Liberation Serif"/>
          <w:b w:val="false"/>
          <w:b w:val="false"/>
          <w:bCs w:val="false"/>
          <w:sz w:val="24"/>
          <w:szCs w:val="24"/>
        </w:rPr>
      </w:pPr>
      <w:r>
        <w:rPr>
          <w:rFonts w:ascii="Liberation Serif" w:hAnsi="Liberation Serif"/>
          <w:b w:val="false"/>
          <w:bCs w:val="false"/>
          <w:sz w:val="24"/>
          <w:szCs w:val="24"/>
        </w:rPr>
        <w:t>2022 75</w:t>
      </w:r>
      <w:r>
        <w:rPr>
          <w:rFonts w:ascii="Liberation Serif" w:hAnsi="Liberation Serif"/>
          <w:b w:val="false"/>
          <w:bCs w:val="false"/>
          <w:sz w:val="24"/>
          <w:szCs w:val="24"/>
          <w:vertAlign w:val="superscript"/>
        </w:rPr>
        <w:t>th</w:t>
      </w:r>
      <w:r>
        <w:rPr>
          <w:rFonts w:ascii="Liberation Serif" w:hAnsi="Liberation Serif"/>
          <w:b w:val="false"/>
          <w:bCs w:val="false"/>
          <w:sz w:val="24"/>
          <w:szCs w:val="24"/>
        </w:rPr>
        <w:t xml:space="preserve"> Anniversary Designated Fund: $6,559</w:t>
      </w:r>
    </w:p>
    <w:p>
      <w:pPr>
        <w:pStyle w:val="Normal"/>
        <w:numPr>
          <w:ilvl w:val="0"/>
          <w:numId w:val="0"/>
        </w:numPr>
        <w:bidi w:val="0"/>
        <w:ind w:left="720" w:hanging="0"/>
        <w:jc w:val="left"/>
        <w:rPr>
          <w:rFonts w:ascii="Liberation Serif" w:hAnsi="Liberation Serif"/>
          <w:b w:val="false"/>
          <w:b w:val="false"/>
          <w:bCs w:val="false"/>
          <w:sz w:val="24"/>
          <w:szCs w:val="24"/>
        </w:rPr>
      </w:pPr>
      <w:r>
        <w:rPr>
          <w:rFonts w:ascii="Liberation Serif" w:hAnsi="Liberation Serif"/>
          <w:b w:val="false"/>
          <w:bCs w:val="false"/>
          <w:sz w:val="24"/>
          <w:szCs w:val="24"/>
        </w:rPr>
      </w:r>
    </w:p>
    <w:p>
      <w:pPr>
        <w:pStyle w:val="Normal"/>
        <w:numPr>
          <w:ilvl w:val="0"/>
          <w:numId w:val="2"/>
        </w:numPr>
        <w:bidi w:val="0"/>
        <w:jc w:val="left"/>
        <w:rPr>
          <w:rFonts w:ascii="Liberation Serif" w:hAnsi="Liberation Serif"/>
          <w:b w:val="false"/>
          <w:b w:val="false"/>
          <w:bCs w:val="false"/>
          <w:sz w:val="24"/>
          <w:szCs w:val="24"/>
        </w:rPr>
      </w:pPr>
      <w:r>
        <w:rPr>
          <w:rFonts w:ascii="Liberation Serif" w:hAnsi="Liberation Serif"/>
          <w:b w:val="false"/>
          <w:bCs w:val="false"/>
          <w:sz w:val="24"/>
          <w:szCs w:val="24"/>
        </w:rPr>
        <w:t>Cuevas moved and Poe seconded approving Kolder, Slaven, Champagne &amp; Co, LLC to perform our 2021 audit and SAUP report. The motion carried.</w:t>
      </w:r>
    </w:p>
    <w:p>
      <w:pPr>
        <w:pStyle w:val="Normal"/>
        <w:numPr>
          <w:ilvl w:val="0"/>
          <w:numId w:val="2"/>
        </w:numPr>
        <w:bidi w:val="0"/>
        <w:jc w:val="left"/>
        <w:rPr>
          <w:rFonts w:ascii="Liberation Serif" w:hAnsi="Liberation Serif"/>
          <w:b w:val="false"/>
          <w:b w:val="false"/>
          <w:bCs w:val="false"/>
          <w:sz w:val="24"/>
          <w:szCs w:val="24"/>
        </w:rPr>
      </w:pPr>
      <w:r>
        <w:rPr>
          <w:rFonts w:ascii="Liberation Serif" w:hAnsi="Liberation Serif"/>
          <w:b w:val="false"/>
          <w:bCs w:val="false"/>
          <w:sz w:val="24"/>
          <w:szCs w:val="24"/>
        </w:rPr>
        <w:t>Blankenship moved to approve the compliance questionnaire form as presented for FY 2021; Boggs seconded and the motion carried.</w:t>
      </w:r>
    </w:p>
    <w:p>
      <w:pPr>
        <w:pStyle w:val="Normal"/>
        <w:numPr>
          <w:ilvl w:val="0"/>
          <w:numId w:val="2"/>
        </w:numPr>
        <w:bidi w:val="0"/>
        <w:jc w:val="left"/>
        <w:rPr>
          <w:rFonts w:ascii="Liberation Serif" w:hAnsi="Liberation Serif"/>
          <w:b w:val="false"/>
          <w:b w:val="false"/>
          <w:bCs w:val="false"/>
          <w:sz w:val="24"/>
          <w:szCs w:val="24"/>
        </w:rPr>
      </w:pPr>
      <w:r>
        <w:rPr>
          <w:rFonts w:ascii="Liberation Serif" w:hAnsi="Liberation Serif"/>
          <w:b w:val="false"/>
          <w:bCs w:val="false"/>
          <w:sz w:val="24"/>
          <w:szCs w:val="24"/>
        </w:rPr>
        <w:t>Chesnutt shared some of the library’s goals for mid-year including increasing foot traffic in the buildings by 10 %, traffic on the Student Resource webpage by 10%, and circulation of physical materials by 15% all by 6/1/22.</w:t>
      </w:r>
    </w:p>
    <w:p>
      <w:pPr>
        <w:pStyle w:val="Normal"/>
        <w:numPr>
          <w:ilvl w:val="0"/>
          <w:numId w:val="2"/>
        </w:numPr>
        <w:bidi w:val="0"/>
        <w:jc w:val="left"/>
        <w:rPr>
          <w:rFonts w:ascii="Liberation Serif" w:hAnsi="Liberation Serif"/>
          <w:b w:val="false"/>
          <w:b w:val="false"/>
          <w:bCs w:val="false"/>
          <w:sz w:val="24"/>
          <w:szCs w:val="24"/>
        </w:rPr>
      </w:pPr>
      <w:r>
        <w:rPr>
          <w:rFonts w:ascii="Liberation Serif" w:hAnsi="Liberation Serif"/>
          <w:b w:val="false"/>
          <w:bCs w:val="false"/>
          <w:sz w:val="24"/>
          <w:szCs w:val="24"/>
        </w:rPr>
        <w:t>Blankenship moved to approve Chesnutt as an authorized applicant for FEMA Hazard Mitigation grant funds. Cuevas seconded and the motion carried.</w:t>
      </w:r>
    </w:p>
    <w:p>
      <w:pPr>
        <w:pStyle w:val="Normal"/>
        <w:numPr>
          <w:ilvl w:val="0"/>
          <w:numId w:val="2"/>
        </w:numPr>
        <w:bidi w:val="0"/>
        <w:jc w:val="left"/>
        <w:rPr>
          <w:rFonts w:ascii="Liberation Serif" w:hAnsi="Liberation Serif"/>
          <w:b w:val="false"/>
          <w:b w:val="false"/>
          <w:bCs w:val="false"/>
          <w:sz w:val="24"/>
          <w:szCs w:val="24"/>
        </w:rPr>
      </w:pPr>
      <w:r>
        <w:rPr>
          <w:rFonts w:ascii="Liberation Serif" w:hAnsi="Liberation Serif"/>
          <w:b w:val="false"/>
          <w:bCs w:val="false"/>
          <w:sz w:val="24"/>
          <w:szCs w:val="24"/>
        </w:rPr>
        <w:t>Boggs moved to approve new wording in Employee Manual sections 6.6.2 and 6.6.3. Blankenship seconded and the motion carried.</w:t>
      </w:r>
    </w:p>
    <w:p>
      <w:pPr>
        <w:pStyle w:val="Normal"/>
        <w:numPr>
          <w:ilvl w:val="0"/>
          <w:numId w:val="2"/>
        </w:numPr>
        <w:bidi w:val="0"/>
        <w:jc w:val="left"/>
        <w:rPr>
          <w:rFonts w:ascii="Liberation Serif" w:hAnsi="Liberation Serif"/>
          <w:b w:val="false"/>
          <w:b w:val="false"/>
          <w:bCs w:val="false"/>
          <w:sz w:val="24"/>
          <w:szCs w:val="24"/>
        </w:rPr>
      </w:pPr>
      <w:r>
        <w:rPr>
          <w:rFonts w:ascii="Liberation Serif" w:hAnsi="Liberation Serif"/>
          <w:b w:val="false"/>
          <w:bCs w:val="false"/>
          <w:sz w:val="24"/>
          <w:szCs w:val="24"/>
        </w:rPr>
        <w:t>Chesnutt provided an update on the Singer renovation project. The project in currently within budget and slated to remain that way.  There has been a delay in the ISP’s permitting and supply shortages may mean our options on furnishings are limited to wooden shelves instead of metal. We hope to have the branch open and running in March or April 2022.</w:t>
      </w:r>
    </w:p>
    <w:p>
      <w:pPr>
        <w:pStyle w:val="Normal"/>
        <w:numPr>
          <w:ilvl w:val="0"/>
          <w:numId w:val="2"/>
        </w:numPr>
        <w:bidi w:val="0"/>
        <w:jc w:val="left"/>
        <w:rPr>
          <w:rFonts w:ascii="Liberation Serif" w:hAnsi="Liberation Serif"/>
          <w:b w:val="false"/>
          <w:b w:val="false"/>
          <w:bCs w:val="false"/>
          <w:sz w:val="24"/>
          <w:szCs w:val="24"/>
        </w:rPr>
      </w:pPr>
      <w:r>
        <w:rPr>
          <w:rFonts w:ascii="Liberation Serif" w:hAnsi="Liberation Serif"/>
          <w:b w:val="false"/>
          <w:bCs w:val="false"/>
          <w:sz w:val="24"/>
          <w:szCs w:val="24"/>
        </w:rPr>
        <w:t>Julie Moncada provided written reports for the Website Committee and 75</w:t>
      </w:r>
      <w:r>
        <w:rPr>
          <w:rFonts w:ascii="Liberation Serif" w:hAnsi="Liberation Serif"/>
          <w:b w:val="false"/>
          <w:bCs w:val="false"/>
          <w:sz w:val="24"/>
          <w:szCs w:val="24"/>
          <w:vertAlign w:val="superscript"/>
        </w:rPr>
        <w:t>th</w:t>
      </w:r>
      <w:r>
        <w:rPr>
          <w:rFonts w:ascii="Liberation Serif" w:hAnsi="Liberation Serif"/>
          <w:b w:val="false"/>
          <w:bCs w:val="false"/>
          <w:sz w:val="24"/>
          <w:szCs w:val="24"/>
        </w:rPr>
        <w:t xml:space="preserve"> Anniversary Committee activities:</w:t>
      </w:r>
    </w:p>
    <w:p>
      <w:pPr>
        <w:pStyle w:val="Normal"/>
        <w:numPr>
          <w:ilvl w:val="1"/>
          <w:numId w:val="2"/>
        </w:numPr>
        <w:bidi w:val="0"/>
        <w:jc w:val="left"/>
        <w:rPr>
          <w:rFonts w:ascii="Liberation Serif" w:hAnsi="Liberation Serif"/>
          <w:b w:val="false"/>
          <w:b w:val="false"/>
          <w:bCs w:val="false"/>
          <w:sz w:val="24"/>
          <w:szCs w:val="24"/>
        </w:rPr>
      </w:pPr>
      <w:r>
        <w:rPr>
          <w:rFonts w:ascii="Liberation Serif" w:hAnsi="Liberation Serif"/>
          <w:b w:val="false"/>
          <w:bCs w:val="false"/>
          <w:sz w:val="24"/>
          <w:szCs w:val="24"/>
        </w:rPr>
        <w:t>The new website is live, as of Jan 29. The URL remains library.beau.org</w:t>
      </w:r>
    </w:p>
    <w:p>
      <w:pPr>
        <w:pStyle w:val="Normal"/>
        <w:numPr>
          <w:ilvl w:val="1"/>
          <w:numId w:val="2"/>
        </w:numPr>
        <w:bidi w:val="0"/>
        <w:jc w:val="left"/>
        <w:rPr>
          <w:rFonts w:ascii="Liberation Serif" w:hAnsi="Liberation Serif"/>
          <w:b w:val="false"/>
          <w:b w:val="false"/>
          <w:bCs w:val="false"/>
          <w:sz w:val="24"/>
          <w:szCs w:val="24"/>
        </w:rPr>
      </w:pPr>
      <w:r>
        <w:rPr>
          <w:rFonts w:ascii="Liberation Serif" w:hAnsi="Liberation Serif"/>
          <w:b w:val="false"/>
          <w:bCs w:val="false"/>
          <w:sz w:val="24"/>
          <w:szCs w:val="24"/>
        </w:rPr>
        <w:t>The Anniversary Committee held a wonderful kick-off event on Jan 15 featuring activities at all locations, speakers and presenters at the DeRidder location. We had over 90 visitors at the DeRidder location in 4 hours that day. Participants of the Diamond Club reading challenge are already turning in their first logs.</w:t>
      </w:r>
    </w:p>
    <w:p>
      <w:pPr>
        <w:pStyle w:val="Normal"/>
        <w:numPr>
          <w:ilvl w:val="0"/>
          <w:numId w:val="2"/>
        </w:numPr>
        <w:bidi w:val="0"/>
        <w:jc w:val="left"/>
        <w:rPr>
          <w:rFonts w:ascii="Liberation Serif" w:hAnsi="Liberation Serif"/>
          <w:b w:val="false"/>
          <w:b w:val="false"/>
          <w:bCs w:val="false"/>
          <w:sz w:val="24"/>
          <w:szCs w:val="24"/>
        </w:rPr>
      </w:pPr>
      <w:r>
        <w:rPr>
          <w:rFonts w:ascii="Liberation Serif" w:hAnsi="Liberation Serif"/>
          <w:b w:val="false"/>
          <w:bCs w:val="false"/>
          <w:sz w:val="24"/>
          <w:szCs w:val="24"/>
        </w:rPr>
        <w:t>Chesnutt shared the YTD financial report. Cuevas moved to amend the budget to include a designated expense budget of $10,276 for Rotary Grant Expense. Poe seconded and the motion carried.</w:t>
      </w:r>
    </w:p>
    <w:p>
      <w:pPr>
        <w:pStyle w:val="Normal"/>
        <w:numPr>
          <w:ilvl w:val="0"/>
          <w:numId w:val="2"/>
        </w:numPr>
        <w:bidi w:val="0"/>
        <w:jc w:val="left"/>
        <w:rPr>
          <w:rFonts w:ascii="Liberation Serif" w:hAnsi="Liberation Serif"/>
          <w:b w:val="false"/>
          <w:b w:val="false"/>
          <w:bCs w:val="false"/>
          <w:sz w:val="24"/>
          <w:szCs w:val="24"/>
        </w:rPr>
      </w:pPr>
      <w:r>
        <w:rPr>
          <w:rFonts w:ascii="Liberation Serif" w:hAnsi="Liberation Serif"/>
          <w:b w:val="false"/>
          <w:bCs w:val="false"/>
          <w:sz w:val="24"/>
          <w:szCs w:val="24"/>
        </w:rPr>
        <w:t>Other reports reviewed included circulation, usage statistics, and personnel, facilities, and community involvement.</w:t>
      </w:r>
    </w:p>
    <w:p>
      <w:pPr>
        <w:pStyle w:val="Normal"/>
        <w:bidi w:val="0"/>
        <w:jc w:val="left"/>
        <w:rPr>
          <w:rFonts w:ascii="Liberation Serif" w:hAnsi="Liberation Serif"/>
          <w:b w:val="false"/>
          <w:b w:val="false"/>
          <w:bCs w:val="false"/>
          <w:sz w:val="24"/>
          <w:szCs w:val="24"/>
        </w:rPr>
      </w:pPr>
      <w:r>
        <w:rPr>
          <w:rFonts w:ascii="Liberation Serif" w:hAnsi="Liberation Serif"/>
          <w:b w:val="false"/>
          <w:bCs w:val="false"/>
          <w:sz w:val="24"/>
          <w:szCs w:val="24"/>
        </w:rPr>
      </w:r>
    </w:p>
    <w:p>
      <w:pPr>
        <w:pStyle w:val="Normal"/>
        <w:bidi w:val="0"/>
        <w:jc w:val="left"/>
        <w:rPr>
          <w:rFonts w:ascii="Liberation Serif" w:hAnsi="Liberation Serif"/>
          <w:b w:val="false"/>
          <w:b w:val="false"/>
          <w:bCs w:val="false"/>
          <w:sz w:val="24"/>
          <w:szCs w:val="24"/>
        </w:rPr>
      </w:pPr>
      <w:r>
        <w:rPr>
          <w:rFonts w:ascii="Liberation Serif" w:hAnsi="Liberation Serif"/>
          <w:b w:val="false"/>
          <w:bCs w:val="false"/>
          <w:sz w:val="24"/>
          <w:szCs w:val="24"/>
        </w:rPr>
        <w:t>With no other business, Lannen adjourned the meeting at 6:02 PM.</w:t>
      </w:r>
    </w:p>
    <w:p>
      <w:pPr>
        <w:pStyle w:val="Normal"/>
        <w:bidi w:val="0"/>
        <w:jc w:val="left"/>
        <w:rPr>
          <w:rFonts w:ascii="Liberation Serif" w:hAnsi="Liberation Serif"/>
          <w:b w:val="false"/>
          <w:b w:val="false"/>
          <w:bCs w:val="false"/>
          <w:sz w:val="24"/>
          <w:szCs w:val="24"/>
        </w:rPr>
      </w:pPr>
      <w:r>
        <w:rPr>
          <w:rFonts w:ascii="Liberation Serif" w:hAnsi="Liberation Serif"/>
          <w:b w:val="false"/>
          <w:bCs w:val="false"/>
          <w:sz w:val="24"/>
          <w:szCs w:val="24"/>
        </w:rPr>
      </w:r>
    </w:p>
    <w:p>
      <w:pPr>
        <w:pStyle w:val="Normal"/>
        <w:bidi w:val="0"/>
        <w:jc w:val="left"/>
        <w:rPr>
          <w:rFonts w:ascii="Liberation Serif" w:hAnsi="Liberation Serif"/>
          <w:b w:val="false"/>
          <w:b w:val="false"/>
          <w:bCs w:val="false"/>
          <w:sz w:val="24"/>
          <w:szCs w:val="24"/>
        </w:rPr>
      </w:pPr>
      <w:r>
        <w:rPr>
          <w:rFonts w:ascii="Liberation Serif" w:hAnsi="Liberation Serif"/>
          <w:b w:val="false"/>
          <w:bCs w:val="false"/>
          <w:sz w:val="24"/>
          <w:szCs w:val="24"/>
        </w:rPr>
        <w:t>Respectfully submitted,</w:t>
      </w:r>
    </w:p>
    <w:p>
      <w:pPr>
        <w:pStyle w:val="Normal"/>
        <w:bidi w:val="0"/>
        <w:jc w:val="left"/>
        <w:rPr>
          <w:rFonts w:ascii="Liberation Serif" w:hAnsi="Liberation Serif"/>
          <w:b w:val="false"/>
          <w:b w:val="false"/>
          <w:bCs w:val="false"/>
          <w:sz w:val="24"/>
          <w:szCs w:val="24"/>
        </w:rPr>
      </w:pPr>
      <w:r>
        <w:rPr>
          <w:rFonts w:ascii="Liberation Serif" w:hAnsi="Liberation Serif"/>
          <w:b w:val="false"/>
          <w:bCs w:val="false"/>
          <w:sz w:val="24"/>
          <w:szCs w:val="24"/>
        </w:rPr>
      </w:r>
    </w:p>
    <w:p>
      <w:pPr>
        <w:pStyle w:val="Normal"/>
        <w:bidi w:val="0"/>
        <w:jc w:val="left"/>
        <w:rPr>
          <w:rFonts w:ascii="Liberation Serif" w:hAnsi="Liberation Serif"/>
          <w:b w:val="false"/>
          <w:b w:val="false"/>
          <w:bCs w:val="false"/>
          <w:sz w:val="24"/>
          <w:szCs w:val="24"/>
        </w:rPr>
      </w:pPr>
      <w:r>
        <w:rPr>
          <w:rFonts w:ascii="Liberation Serif" w:hAnsi="Liberation Serif"/>
          <w:b w:val="false"/>
          <w:bCs w:val="false"/>
          <w:sz w:val="24"/>
          <w:szCs w:val="24"/>
        </w:rPr>
        <w:t>Erin N Chesnutt,</w:t>
      </w:r>
    </w:p>
    <w:p>
      <w:pPr>
        <w:pStyle w:val="Normal"/>
        <w:bidi w:val="0"/>
        <w:jc w:val="left"/>
        <w:rPr>
          <w:rFonts w:ascii="Liberation Serif" w:hAnsi="Liberation Serif"/>
          <w:b w:val="false"/>
          <w:b w:val="false"/>
          <w:bCs w:val="false"/>
          <w:sz w:val="24"/>
          <w:szCs w:val="24"/>
        </w:rPr>
      </w:pPr>
      <w:r>
        <w:rPr>
          <w:rFonts w:ascii="Liberation Serif" w:hAnsi="Liberation Serif"/>
          <w:b w:val="false"/>
          <w:bCs w:val="false"/>
          <w:sz w:val="24"/>
          <w:szCs w:val="24"/>
        </w:rPr>
        <w:t>Secretary to the Board</w:t>
      </w:r>
    </w:p>
    <w:sectPr>
      <w:footerReference w:type="default" r:id="rId5"/>
      <w:type w:val="nextPage"/>
      <w:pgSz w:w="11906" w:h="16838"/>
      <w:pgMar w:left="1134" w:right="1134" w:gutter="0" w:header="0" w:top="1134" w:footer="1134" w:bottom="2266"/>
      <w:pgNumType w:fmt="decimal"/>
      <w:formProt w:val="false"/>
      <w:textDirection w:val="lrTb"/>
      <w:docGrid w:type="default" w:linePitch="600" w:charSpace="4096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 Sans">
    <w:charset w:val="01"/>
    <w:family w:val="swiss"/>
    <w:pitch w:val="default"/>
  </w:font>
  <w:font w:name="OpenSymbol">
    <w:altName w:val="Arial Unicode MS"/>
    <w:charset w:val="01"/>
    <w:family w:val="swiss"/>
    <w:pitch w:val="default"/>
  </w:font>
  <w:font w:name="Cambria">
    <w:charset w:val="01"/>
    <w:family w:val="swiss"/>
    <w:pitch w:val="default"/>
  </w:font>
  <w:font w:name="Liberation Serif">
    <w:altName w:val="Times New Roman"/>
    <w:charset w:val="01"/>
    <w:family w:val="swiss"/>
    <w:pitch w:val="default"/>
  </w:font>
  <w:font w:name="Symbol">
    <w:charset w:val="02"/>
    <w:family w:val="auto"/>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bidi w:val="0"/>
      <w:jc w:val="center"/>
      <w:rPr>
        <w:rFonts w:ascii="Cambria" w:hAnsi="Cambria"/>
        <w:b/>
        <w:b/>
        <w:bCs/>
        <w:color w:val="6E4DA0"/>
        <w:lang w:val="en-US"/>
      </w:rPr>
    </w:pPr>
    <w:r>
      <w:rPr>
        <w:rFonts w:ascii="Cambria" w:hAnsi="Cambria"/>
        <w:b/>
        <w:bCs/>
        <w:color w:val="6E4DA0"/>
        <w:lang w:val="en-US"/>
      </w:rPr>
      <w:t>FIND IT HERE</w:t>
    </w:r>
  </w:p>
  <w:p>
    <w:pPr>
      <w:pStyle w:val="Footer"/>
      <w:bidi w:val="0"/>
      <w:jc w:val="center"/>
      <w:rPr>
        <w:rFonts w:ascii="Cambria" w:hAnsi="Cambria"/>
        <w:b/>
        <w:b/>
        <w:bCs/>
        <w:color w:val="6E4DA0"/>
        <w:sz w:val="12"/>
        <w:szCs w:val="12"/>
        <w:lang w:val="en-US"/>
      </w:rPr>
    </w:pPr>
    <w:r>
      <w:rPr>
        <w:rFonts w:ascii="Cambria" w:hAnsi="Cambria"/>
        <w:b/>
        <w:bCs/>
        <w:color w:val="6E4DA0"/>
        <w:sz w:val="12"/>
        <w:szCs w:val="12"/>
        <w:lang w:val="en-US"/>
      </w:rPr>
    </w:r>
  </w:p>
  <w:p>
    <w:pPr>
      <w:pStyle w:val="Footer"/>
      <w:bidi w:val="0"/>
      <w:jc w:val="center"/>
      <w:rPr>
        <w:rFonts w:ascii="Cambria" w:hAnsi="Cambria"/>
        <w:b/>
        <w:b/>
        <w:bCs/>
        <w:color w:val="6E4DA0"/>
        <w:lang w:val="en-US"/>
      </w:rPr>
    </w:pPr>
    <w:r>
      <w:rPr>
        <w:rFonts w:ascii="Cambria" w:hAnsi="Cambria"/>
        <w:b/>
        <w:bCs/>
        <w:color w:val="6E4DA0"/>
        <w:lang w:val="en-US"/>
      </w:rPr>
      <w:t>337-463-6217  or  1-800-524-6239</w:t>
    </w:r>
  </w:p>
  <w:p>
    <w:pPr>
      <w:pStyle w:val="Footer"/>
      <w:bidi w:val="0"/>
      <w:jc w:val="center"/>
      <w:rPr>
        <w:rFonts w:ascii="Cambria" w:hAnsi="Cambria"/>
        <w:b/>
        <w:b/>
        <w:bCs/>
        <w:color w:val="6E4DA0"/>
        <w:sz w:val="12"/>
        <w:szCs w:val="12"/>
        <w:lang w:val="en-US"/>
      </w:rPr>
    </w:pPr>
    <w:r>
      <w:rPr>
        <w:rFonts w:ascii="Cambria" w:hAnsi="Cambria"/>
        <w:b/>
        <w:bCs/>
        <w:color w:val="6E4DA0"/>
        <w:sz w:val="12"/>
        <w:szCs w:val="12"/>
        <w:lang w:val="en-US"/>
      </w:rPr>
    </w:r>
  </w:p>
  <w:p>
    <w:pPr>
      <w:pStyle w:val="Footer"/>
      <w:bidi w:val="0"/>
      <w:jc w:val="center"/>
      <w:rPr>
        <w:rFonts w:ascii="Cambria" w:hAnsi="Cambria"/>
        <w:b/>
        <w:b/>
        <w:bCs/>
        <w:color w:val="6E4DA0"/>
        <w:lang w:val="en-US"/>
      </w:rPr>
    </w:pPr>
    <w:r>
      <w:rPr>
        <w:rFonts w:ascii="Cambria" w:hAnsi="Cambria"/>
        <w:b/>
        <w:bCs/>
        <w:color w:val="6E4DA0"/>
        <w:lang w:val="en-US"/>
      </w:rPr>
      <w:t>library.beau.org</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left" w:pos="2959" w:leader="none"/>
        <w:tab w:val="center" w:pos="4819" w:leader="none"/>
        <w:tab w:val="right" w:pos="9638" w:leader="none"/>
      </w:tabs>
      <w:bidi w:val="0"/>
      <w:jc w:val="center"/>
      <w:rPr>
        <w:lang w:val="en-US"/>
      </w:rPr>
    </w:pPr>
    <w:r>
      <w:rPr>
        <w:lang w:val="en-US"/>
      </w:rPr>
      <w:fldChar w:fldCharType="begin"/>
    </w:r>
    <w:r>
      <w:rPr>
        <w:lang w:val="en-US"/>
      </w:rPr>
      <w:instrText> PAGE </w:instrText>
    </w:r>
    <w:r>
      <w:rPr>
        <w:lang w:val="en-US"/>
      </w:rPr>
      <w:fldChar w:fldCharType="separate"/>
    </w:r>
    <w:r>
      <w:rPr>
        <w:lang w:val="en-US"/>
      </w:rPr>
      <w:t>3</w:t>
    </w:r>
    <w:r>
      <w:rPr>
        <w:lang w:val="en-US"/>
      </w:rPr>
      <w:fldChar w:fldCharType="end"/>
    </w:r>
  </w:p>
  <w:p>
    <w:pPr>
      <w:pStyle w:val="Footer"/>
      <w:bidi w:val="0"/>
      <w:jc w:val="center"/>
      <w:rPr>
        <w:rFonts w:ascii="Cambria" w:hAnsi="Cambria"/>
        <w:b/>
        <w:b/>
        <w:bCs/>
        <w:color w:val="6E4DA0"/>
        <w:lang w:val="en-US"/>
      </w:rPr>
    </w:pPr>
    <w:r>
      <w:rPr>
        <w:rFonts w:ascii="Cambria" w:hAnsi="Cambria"/>
        <w:b/>
        <w:bCs/>
        <w:color w:val="6E4DA0"/>
        <w:lang w:val="en-US"/>
      </w:rPr>
      <w:t>337-463-6217  or  1-800-524-6239</w:t>
    </w:r>
  </w:p>
  <w:p>
    <w:pPr>
      <w:pStyle w:val="Footer"/>
      <w:bidi w:val="0"/>
      <w:jc w:val="center"/>
      <w:rPr>
        <w:rFonts w:ascii="Cambria" w:hAnsi="Cambria"/>
        <w:b/>
        <w:b/>
        <w:bCs/>
        <w:color w:val="6E4DA0"/>
        <w:sz w:val="12"/>
        <w:szCs w:val="12"/>
        <w:lang w:val="en-US"/>
      </w:rPr>
    </w:pPr>
    <w:r>
      <w:rPr>
        <w:rFonts w:ascii="Cambria" w:hAnsi="Cambria"/>
        <w:b/>
        <w:bCs/>
        <w:color w:val="6E4DA0"/>
        <w:sz w:val="12"/>
        <w:szCs w:val="12"/>
        <w:lang w:val="en-US"/>
      </w:rPr>
    </w:r>
  </w:p>
  <w:p>
    <w:pPr>
      <w:pStyle w:val="Footer"/>
      <w:tabs>
        <w:tab w:val="left" w:pos="2959" w:leader="none"/>
        <w:tab w:val="center" w:pos="4819" w:leader="none"/>
        <w:tab w:val="right" w:pos="9638" w:leader="none"/>
      </w:tabs>
      <w:bidi w:val="0"/>
      <w:jc w:val="center"/>
      <w:rPr>
        <w:rFonts w:ascii="Cambria" w:hAnsi="Cambria"/>
        <w:b/>
        <w:b/>
        <w:bCs/>
        <w:color w:val="6E4DA0"/>
        <w:lang w:val="en-US"/>
      </w:rPr>
    </w:pPr>
    <w:r>
      <w:rPr>
        <w:rFonts w:ascii="Cambria" w:hAnsi="Cambria"/>
        <w:b/>
        <w:bCs/>
        <w:color w:val="6E4DA0"/>
        <w:lang w:val="en-US"/>
      </w:rPr>
      <w:t>library.beau.org</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left"/>
      <w:pPr>
        <w:tabs>
          <w:tab w:val="num" w:pos="0"/>
        </w:tabs>
        <w:ind w:left="432" w:hanging="432"/>
      </w:pPr>
    </w:lvl>
    <w:lvl w:ilvl="1">
      <w:start w:val="1"/>
      <w:pStyle w:val="Heading2"/>
      <w:numFmt w:val="none"/>
      <w:suff w:val="nothing"/>
      <w:lvlText w:val=""/>
      <w:lvlJc w:val="left"/>
      <w:pPr>
        <w:tabs>
          <w:tab w:val="num" w:pos="0"/>
        </w:tabs>
        <w:ind w:left="576" w:hanging="576"/>
      </w:pPr>
    </w:lvl>
    <w:lvl w:ilvl="2">
      <w:start w:val="1"/>
      <w:pStyle w:val="Heading3"/>
      <w:numFmt w:val="none"/>
      <w:suff w:val="nothing"/>
      <w:lvlText w:val=""/>
      <w:lvlJc w:val="left"/>
      <w:pPr>
        <w:tabs>
          <w:tab w:val="num" w:pos="0"/>
        </w:tabs>
        <w:ind w:left="720" w:hanging="720"/>
      </w:pPr>
    </w:lvl>
    <w:lvl w:ilvl="3">
      <w:start w:val="1"/>
      <w:pStyle w:val="Heading4"/>
      <w:numFmt w:val="none"/>
      <w:suff w:val="nothing"/>
      <w:lvlText w:val=""/>
      <w:lvlJc w:val="left"/>
      <w:pPr>
        <w:tabs>
          <w:tab w:val="num" w:pos="0"/>
        </w:tabs>
        <w:ind w:left="864" w:hanging="864"/>
      </w:pPr>
    </w:lvl>
    <w:lvl w:ilvl="4">
      <w:start w:val="1"/>
      <w:pStyle w:val="Heading5"/>
      <w:numFmt w:val="none"/>
      <w:suff w:val="nothing"/>
      <w:lvlText w:val=""/>
      <w:lvlJc w:val="left"/>
      <w:pPr>
        <w:tabs>
          <w:tab w:val="num" w:pos="0"/>
        </w:tabs>
        <w:ind w:left="1008" w:hanging="1008"/>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pStyle w:val="Heading8"/>
      <w:numFmt w:val="none"/>
      <w:suff w:val="nothing"/>
      <w:lvlText w:val=""/>
      <w:lvlJc w:val="left"/>
      <w:pPr>
        <w:tabs>
          <w:tab w:val="num" w:pos="0"/>
        </w:tabs>
        <w:ind w:left="1440" w:hanging="1440"/>
      </w:pPr>
    </w:lvl>
    <w:lvl w:ilvl="8">
      <w:start w:val="1"/>
      <w:pStyle w:val="Heading9"/>
      <w:numFmt w:val="none"/>
      <w:suff w:val="nothing"/>
      <w:lvlText w:val=""/>
      <w:lvlJc w:val="left"/>
      <w:pPr>
        <w:tabs>
          <w:tab w:val="num" w:pos="0"/>
        </w:tabs>
        <w:ind w:left="1584" w:hanging="1584"/>
      </w:p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2"/>
  </w:num>
</w:numbering>
</file>

<file path=word/settings.xml><?xml version="1.0" encoding="utf-8"?>
<w:settings xmlns:w="http://schemas.openxmlformats.org/wordprocessingml/2006/main">
  <w:zoom w:percent="11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Open Sans" w:hAnsi="Open Sans" w:eastAsia="SimSun" w:cs="Mangal"/>
        <w:kern w:val="2"/>
        <w:szCs w:val="24"/>
        <w:lang w:val="en-US" w:eastAsia="zh-CN" w:bidi="hi-IN"/>
      </w:rPr>
    </w:rPrDefault>
    <w:pPrDefault>
      <w:pPr>
        <w:suppressAutoHyphens w:val="true"/>
      </w:pPr>
    </w:pPrDefault>
  </w:docDefaults>
  <w:style w:type="paragraph" w:styleId="Normal">
    <w:name w:val="Normal"/>
    <w:qFormat/>
    <w:pPr>
      <w:widowControl w:val="false"/>
      <w:suppressAutoHyphens w:val="true"/>
      <w:overflowPunct w:val="false"/>
      <w:bidi w:val="0"/>
      <w:spacing w:before="0" w:after="0"/>
      <w:jc w:val="left"/>
    </w:pPr>
    <w:rPr>
      <w:rFonts w:ascii="Open Sans" w:hAnsi="Open Sans" w:eastAsia="SimSun" w:cs="Mangal"/>
      <w:color w:val="auto"/>
      <w:kern w:val="2"/>
      <w:sz w:val="20"/>
      <w:szCs w:val="24"/>
      <w:lang w:val="en-US" w:eastAsia="zh-CN" w:bidi="hi-IN"/>
    </w:rPr>
  </w:style>
  <w:style w:type="paragraph" w:styleId="Heading1">
    <w:name w:val="Heading 1"/>
    <w:basedOn w:val="Heading"/>
    <w:next w:val="TextBody"/>
    <w:qFormat/>
    <w:pPr>
      <w:numPr>
        <w:ilvl w:val="0"/>
        <w:numId w:val="1"/>
      </w:numPr>
      <w:spacing w:before="240" w:after="120"/>
      <w:outlineLvl w:val="0"/>
    </w:pPr>
    <w:rPr>
      <w:b/>
      <w:bCs/>
      <w:sz w:val="36"/>
      <w:szCs w:val="36"/>
    </w:rPr>
  </w:style>
  <w:style w:type="paragraph" w:styleId="Heading2">
    <w:name w:val="Heading 2"/>
    <w:basedOn w:val="Heading"/>
    <w:next w:val="TextBody"/>
    <w:qFormat/>
    <w:pPr>
      <w:numPr>
        <w:ilvl w:val="1"/>
        <w:numId w:val="1"/>
      </w:numPr>
      <w:spacing w:before="200" w:after="120"/>
      <w:outlineLvl w:val="1"/>
    </w:pPr>
    <w:rPr>
      <w:b/>
      <w:bCs/>
      <w:sz w:val="32"/>
      <w:szCs w:val="32"/>
    </w:rPr>
  </w:style>
  <w:style w:type="paragraph" w:styleId="Heading3">
    <w:name w:val="Heading 3"/>
    <w:basedOn w:val="Heading"/>
    <w:next w:val="TextBody"/>
    <w:qFormat/>
    <w:pPr>
      <w:numPr>
        <w:ilvl w:val="2"/>
        <w:numId w:val="1"/>
      </w:numPr>
      <w:spacing w:before="140" w:after="120"/>
      <w:outlineLvl w:val="2"/>
    </w:pPr>
    <w:rPr>
      <w:b/>
      <w:bCs/>
      <w:color w:val="808080"/>
      <w:sz w:val="28"/>
      <w:szCs w:val="28"/>
    </w:rPr>
  </w:style>
  <w:style w:type="paragraph" w:styleId="Heading4">
    <w:name w:val="Heading 4"/>
    <w:basedOn w:val="Heading"/>
    <w:next w:val="TextBody"/>
    <w:qFormat/>
    <w:pPr>
      <w:numPr>
        <w:ilvl w:val="3"/>
        <w:numId w:val="1"/>
      </w:numPr>
      <w:spacing w:before="120" w:after="120"/>
      <w:outlineLvl w:val="3"/>
    </w:pPr>
    <w:rPr>
      <w:b/>
      <w:bCs/>
      <w:i/>
      <w:iCs/>
      <w:color w:val="808080"/>
      <w:sz w:val="27"/>
      <w:szCs w:val="27"/>
    </w:rPr>
  </w:style>
  <w:style w:type="paragraph" w:styleId="Heading5">
    <w:name w:val="Heading 5"/>
    <w:basedOn w:val="Heading"/>
    <w:next w:val="TextBody"/>
    <w:qFormat/>
    <w:pPr>
      <w:numPr>
        <w:ilvl w:val="4"/>
        <w:numId w:val="1"/>
      </w:numPr>
      <w:spacing w:before="120" w:after="60"/>
      <w:outlineLvl w:val="4"/>
    </w:pPr>
    <w:rPr>
      <w:b/>
      <w:bCs/>
      <w:sz w:val="24"/>
      <w:szCs w:val="24"/>
    </w:rPr>
  </w:style>
  <w:style w:type="paragraph" w:styleId="Heading8">
    <w:name w:val="Heading 8"/>
    <w:basedOn w:val="Heading"/>
    <w:next w:val="TextBody"/>
    <w:qFormat/>
    <w:pPr>
      <w:numPr>
        <w:ilvl w:val="7"/>
        <w:numId w:val="1"/>
      </w:numPr>
      <w:spacing w:before="60" w:after="60"/>
      <w:outlineLvl w:val="7"/>
    </w:pPr>
    <w:rPr>
      <w:b/>
      <w:bCs/>
      <w:i/>
      <w:iCs/>
      <w:sz w:val="22"/>
      <w:szCs w:val="22"/>
    </w:rPr>
  </w:style>
  <w:style w:type="paragraph" w:styleId="Heading9">
    <w:name w:val="Heading 9"/>
    <w:basedOn w:val="Heading"/>
    <w:next w:val="TextBody"/>
    <w:qFormat/>
    <w:pPr>
      <w:numPr>
        <w:ilvl w:val="8"/>
        <w:numId w:val="1"/>
      </w:numPr>
      <w:spacing w:before="60" w:after="60"/>
      <w:outlineLvl w:val="8"/>
    </w:pPr>
    <w:rPr>
      <w:b/>
      <w:bCs/>
      <w:sz w:val="21"/>
      <w:szCs w:val="21"/>
    </w:rPr>
  </w:style>
  <w:style w:type="character" w:styleId="Placeholder">
    <w:name w:val="Placeholder"/>
    <w:qFormat/>
    <w:rPr>
      <w:smallCaps/>
      <w:color w:val="008080"/>
      <w:u w:val="dotted"/>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Open Sans" w:hAnsi="Open Sans" w:eastAsia="Microsoft YaHei" w:cs="Mangal"/>
      <w:sz w:val="28"/>
      <w:szCs w:val="28"/>
    </w:rPr>
  </w:style>
  <w:style w:type="paragraph" w:styleId="TextBody">
    <w:name w:val="Body Text"/>
    <w:basedOn w:val="Normal"/>
    <w:pPr>
      <w:tabs>
        <w:tab w:val="clear" w:pos="709"/>
      </w:tabs>
      <w:spacing w:lineRule="auto" w:line="288" w:before="0" w:after="283"/>
      <w:jc w:val="both"/>
    </w:pPr>
    <w:rPr/>
  </w:style>
  <w:style w:type="paragraph" w:styleId="List">
    <w:name w:val="List"/>
    <w:basedOn w:val="TextBody"/>
    <w:pPr/>
    <w:rPr>
      <w:rFonts w:ascii="Open Sans" w:hAnsi="Open Sans" w:cs="Mangal"/>
    </w:rPr>
  </w:style>
  <w:style w:type="paragraph" w:styleId="Caption">
    <w:name w:val="Caption"/>
    <w:basedOn w:val="Normal"/>
    <w:qFormat/>
    <w:pPr>
      <w:suppressLineNumbers/>
      <w:spacing w:before="120" w:after="120"/>
    </w:pPr>
    <w:rPr>
      <w:rFonts w:ascii="Open Sans" w:hAnsi="Open Sans" w:cs="Mangal"/>
      <w:i/>
      <w:iCs/>
      <w:sz w:val="20"/>
      <w:szCs w:val="24"/>
    </w:rPr>
  </w:style>
  <w:style w:type="paragraph" w:styleId="Index">
    <w:name w:val="Index"/>
    <w:basedOn w:val="Normal"/>
    <w:qFormat/>
    <w:pPr>
      <w:suppressLineNumbers/>
    </w:pPr>
    <w:rPr>
      <w:rFonts w:ascii="Open Sans" w:hAnsi="Open Sans" w:cs="Mangal"/>
    </w:rPr>
  </w:style>
  <w:style w:type="paragraph" w:styleId="Senderaddress">
    <w:name w:val="sender address"/>
    <w:basedOn w:val="Normal"/>
    <w:qFormat/>
    <w:pPr>
      <w:tabs>
        <w:tab w:val="clear" w:pos="709"/>
        <w:tab w:val="left" w:pos="5663" w:leader="none"/>
        <w:tab w:val="right" w:pos="7850" w:leader="none"/>
      </w:tabs>
      <w:spacing w:before="0" w:after="567"/>
    </w:pPr>
    <w:rPr>
      <w:rFonts w:ascii="Open Sans" w:hAnsi="Open Sans"/>
      <w:sz w:val="20"/>
      <w:szCs w:val="20"/>
    </w:rPr>
  </w:style>
  <w:style w:type="paragraph" w:styleId="Address">
    <w:name w:val="address"/>
    <w:basedOn w:val="Normal"/>
    <w:qFormat/>
    <w:pPr>
      <w:spacing w:before="0" w:after="567"/>
    </w:pPr>
    <w:rPr>
      <w:rFonts w:ascii="Open Sans" w:hAnsi="Open Sans"/>
      <w:sz w:val="20"/>
      <w:szCs w:val="20"/>
    </w:rPr>
  </w:style>
  <w:style w:type="paragraph" w:styleId="Heading10">
    <w:name w:val="Heading 10"/>
    <w:basedOn w:val="Heading"/>
    <w:next w:val="TextBody"/>
    <w:qFormat/>
    <w:pPr>
      <w:spacing w:before="60" w:after="60"/>
      <w:outlineLvl w:val="8"/>
    </w:pPr>
    <w:rPr>
      <w:b/>
      <w:bCs/>
      <w:sz w:val="21"/>
      <w:szCs w:val="21"/>
    </w:rPr>
  </w:style>
  <w:style w:type="paragraph" w:styleId="Quotations">
    <w:name w:val="Quotations"/>
    <w:basedOn w:val="Normal"/>
    <w:qFormat/>
    <w:pPr>
      <w:spacing w:before="0" w:after="283"/>
      <w:ind w:left="567" w:right="567" w:hanging="0"/>
    </w:pPr>
    <w:rPr/>
  </w:style>
  <w:style w:type="paragraph" w:styleId="Title">
    <w:name w:val="Title"/>
    <w:basedOn w:val="Heading"/>
    <w:next w:val="TextBody"/>
    <w:qFormat/>
    <w:pPr>
      <w:jc w:val="center"/>
    </w:pPr>
    <w:rPr>
      <w:b/>
      <w:bCs/>
      <w:sz w:val="56"/>
      <w:szCs w:val="56"/>
    </w:rPr>
  </w:style>
  <w:style w:type="paragraph" w:styleId="Subtitle">
    <w:name w:val="Subtitle"/>
    <w:basedOn w:val="Heading"/>
    <w:next w:val="TextBody"/>
    <w:qFormat/>
    <w:pPr>
      <w:spacing w:before="60" w:after="120"/>
      <w:jc w:val="center"/>
    </w:pPr>
    <w:rPr>
      <w:sz w:val="36"/>
      <w:szCs w:val="36"/>
    </w:rPr>
  </w:style>
  <w:style w:type="paragraph" w:styleId="HeaderandFooter">
    <w:name w:val="Header and Footer"/>
    <w:basedOn w:val="Normal"/>
    <w:qFormat/>
    <w:pPr>
      <w:suppressLineNumbers/>
      <w:tabs>
        <w:tab w:val="clear" w:pos="709"/>
        <w:tab w:val="center" w:pos="4986" w:leader="none"/>
        <w:tab w:val="right" w:pos="9972" w:leader="none"/>
      </w:tabs>
    </w:pPr>
    <w:rPr/>
  </w:style>
  <w:style w:type="paragraph" w:styleId="Footer">
    <w:name w:val="Footer"/>
    <w:basedOn w:val="Normal"/>
    <w:pPr>
      <w:suppressLineNumbers/>
      <w:tabs>
        <w:tab w:val="clear" w:pos="709"/>
        <w:tab w:val="center" w:pos="4819" w:leader="none"/>
        <w:tab w:val="right" w:pos="9638" w:leader="none"/>
      </w:tabs>
    </w:pPr>
    <w:rPr/>
  </w:style>
  <w:style w:type="paragraph" w:styleId="TableContents">
    <w:name w:val="Table Contents"/>
    <w:basedOn w:val="Normal"/>
    <w:qFormat/>
    <w:pPr>
      <w:widowControl w:val="false"/>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BPL Letterhead 75th</Template>
  <TotalTime>113</TotalTime>
  <Application>LibreOffice/7.2.4.1$Linux_X86_64 LibreOffice_project/27d75539669ac387bb498e35313b970b7fe9c4f9</Application>
  <AppVersion>15.0000</AppVersion>
  <Pages>3</Pages>
  <Words>929</Words>
  <Characters>5046</Characters>
  <CharactersWithSpaces>5866</CharactersWithSpaces>
  <Paragraphs>111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2022-02-07T14:26:02Z</dcterms:created>
  <dc:creator>Erin Chesnutt</dc:creator>
  <dc:description>Modern business letter with sans-serif font </dc:description>
  <dc:language>en-US</dc:language>
  <cp:lastModifiedBy>John Jr</cp:lastModifiedBy>
  <dcterms:modified xsi:type="dcterms:W3CDTF">2022-02-08T14:09:39Z</dcterms:modified>
  <cp:revision>9</cp:revision>
  <dc:subject/>
  <dc:title>BPL Letterhead 75th</dc:title>
</cp:coreProperties>
</file>

<file path=docProps/custom.xml><?xml version="1.0" encoding="utf-8"?>
<Properties xmlns="http://schemas.openxmlformats.org/officeDocument/2006/custom-properties" xmlns:vt="http://schemas.openxmlformats.org/officeDocument/2006/docPropsVTypes"/>
</file>